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C99E" w14:textId="17E9ED8A" w:rsidR="001345EB" w:rsidRPr="001345EB" w:rsidRDefault="001345EB" w:rsidP="001345EB">
      <w:pPr>
        <w:spacing w:after="360"/>
        <w:ind w:left="360" w:hanging="360"/>
        <w:jc w:val="center"/>
        <w:rPr>
          <w:b/>
          <w:bCs/>
          <w:sz w:val="28"/>
          <w:szCs w:val="28"/>
          <w:u w:val="single"/>
        </w:rPr>
      </w:pPr>
      <w:r w:rsidRPr="001345EB">
        <w:rPr>
          <w:b/>
          <w:bCs/>
          <w:sz w:val="28"/>
          <w:szCs w:val="28"/>
          <w:u w:val="single"/>
        </w:rPr>
        <w:t>SUPPLEMENTAL TERMS</w:t>
      </w:r>
    </w:p>
    <w:p w14:paraId="126B3DAA" w14:textId="1E8A3AEE" w:rsidR="00302F7B" w:rsidRDefault="000068E4" w:rsidP="00805B9E">
      <w:pPr>
        <w:pStyle w:val="ListParagraph"/>
        <w:numPr>
          <w:ilvl w:val="0"/>
          <w:numId w:val="6"/>
        </w:numPr>
        <w:ind w:left="360"/>
        <w:jc w:val="both"/>
      </w:pPr>
      <w:r>
        <w:rPr>
          <w:b/>
          <w:bCs/>
          <w:u w:val="single"/>
        </w:rPr>
        <w:t>E</w:t>
      </w:r>
      <w:r w:rsidR="00302F7B" w:rsidRPr="00302F7B">
        <w:rPr>
          <w:b/>
          <w:bCs/>
          <w:u w:val="single"/>
        </w:rPr>
        <w:t>QUAL OPPORTUNITY CLAUSE</w:t>
      </w:r>
      <w:r w:rsidR="00F124E4">
        <w:rPr>
          <w:b/>
          <w:bCs/>
          <w:u w:val="single"/>
        </w:rPr>
        <w:t>.</w:t>
      </w:r>
      <w:r w:rsidR="00302F7B">
        <w:tab/>
      </w:r>
    </w:p>
    <w:p w14:paraId="372951AA" w14:textId="77777777" w:rsidR="00302F7B" w:rsidRDefault="00302F7B" w:rsidP="00302F7B">
      <w:pPr>
        <w:ind w:firstLine="360"/>
        <w:jc w:val="both"/>
      </w:pPr>
      <w:r>
        <w:t>(1)</w:t>
      </w:r>
      <w:r>
        <w:tab/>
        <w:t>During the performance of this contract, the contractor agrees as follows:</w:t>
      </w:r>
    </w:p>
    <w:p w14:paraId="22F8F7A3" w14:textId="77777777" w:rsidR="00302F7B" w:rsidRDefault="00302F7B" w:rsidP="00302F7B">
      <w:pPr>
        <w:ind w:left="720"/>
        <w:jc w:val="both"/>
      </w:pPr>
      <w:r>
        <w:t>(a)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440E056" w14:textId="77777777" w:rsidR="00302F7B" w:rsidRDefault="00302F7B" w:rsidP="00302F7B">
      <w:pPr>
        <w:ind w:left="720"/>
        <w:jc w:val="both"/>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07EB1EF5" w14:textId="77777777" w:rsidR="00302F7B" w:rsidRDefault="00302F7B" w:rsidP="00302F7B">
      <w:pPr>
        <w:ind w:left="720"/>
        <w:jc w:val="both"/>
      </w:pPr>
      <w:r>
        <w:t>(b)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620F5D11" w14:textId="77777777" w:rsidR="00302F7B" w:rsidRDefault="00302F7B" w:rsidP="00302F7B">
      <w:pPr>
        <w:ind w:left="720"/>
        <w:jc w:val="both"/>
      </w:pPr>
      <w:r>
        <w:t>(c)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2723AA2" w14:textId="77777777" w:rsidR="00302F7B" w:rsidRDefault="00302F7B" w:rsidP="00302F7B">
      <w:pPr>
        <w:ind w:left="720"/>
        <w:jc w:val="both"/>
      </w:pPr>
      <w: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t>section, and</w:t>
      </w:r>
      <w:proofErr w:type="gramEnd"/>
      <w:r>
        <w:t xml:space="preserve"> shall post copies of the notice in conspicuous places available to employees and applicants for employment.</w:t>
      </w:r>
    </w:p>
    <w:p w14:paraId="73400A14" w14:textId="77777777" w:rsidR="00302F7B" w:rsidRDefault="00302F7B" w:rsidP="00302F7B">
      <w:pPr>
        <w:ind w:left="720"/>
        <w:jc w:val="both"/>
      </w:pPr>
      <w:r>
        <w:t>(e) The contractor will comply with all provisions of Executive Order 11246 of September 24, 1965, and of the rules, regulations, and relevant orders of the Secretary of Labor.</w:t>
      </w:r>
    </w:p>
    <w:p w14:paraId="7ACF8811" w14:textId="77777777" w:rsidR="00302F7B" w:rsidRDefault="00302F7B" w:rsidP="00302F7B">
      <w:pPr>
        <w:ind w:left="720"/>
        <w:jc w:val="both"/>
      </w:pPr>
      <w:r>
        <w:t xml:space="preserve">(f) The contractor will furnish all information and reports required by Executive Order 11246 of September 24, 1965, and by rules, regulations, and orders of the Secretary of Labor, or pursuant thereto, and will permit access to his books, records, and accounts by the administering agency </w:t>
      </w:r>
      <w:r>
        <w:lastRenderedPageBreak/>
        <w:t>and the Secretary of Labor for purposes of investigation to ascertain compliance with such rules, regulations, and orders.</w:t>
      </w:r>
    </w:p>
    <w:p w14:paraId="06A3ED30" w14:textId="77777777" w:rsidR="00302F7B" w:rsidRDefault="00302F7B" w:rsidP="00302F7B">
      <w:pPr>
        <w:ind w:left="720"/>
        <w:jc w:val="both"/>
      </w:pPr>
      <w:r>
        <w:t>(g)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59CF0B66" w14:textId="77777777" w:rsidR="00302F7B" w:rsidRDefault="00302F7B" w:rsidP="00302F7B">
      <w:pPr>
        <w:ind w:left="720"/>
        <w:jc w:val="both"/>
      </w:pPr>
      <w:r>
        <w:t>(h)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76F53466" w14:textId="77777777" w:rsidR="00302F7B" w:rsidRDefault="00302F7B" w:rsidP="00432E5C">
      <w:pPr>
        <w:ind w:left="720"/>
        <w:jc w:val="both"/>
      </w:pPr>
      <w:r>
        <w:t xml:space="preserve">Provided, however, that in the event a contractor becomes involved in, or is threatened with, litigation with a subcontractor or vendor </w:t>
      </w:r>
      <w:proofErr w:type="gramStart"/>
      <w:r>
        <w:t>as a result of</w:t>
      </w:r>
      <w:proofErr w:type="gramEnd"/>
      <w:r>
        <w:t xml:space="preserve"> such direction by the administering agency, the contractor may request the United States to enter into such litigation to protect the interests of the United States.</w:t>
      </w:r>
    </w:p>
    <w:p w14:paraId="37E81FEC" w14:textId="54990A97" w:rsidR="00302F7B" w:rsidRDefault="00302F7B" w:rsidP="00432E5C">
      <w:pPr>
        <w:ind w:left="720"/>
        <w:jc w:val="both"/>
      </w:pPr>
      <w: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F1D65BE" w14:textId="6D0EAA7C" w:rsidR="00302F7B" w:rsidRDefault="00302F7B" w:rsidP="00432E5C">
      <w:pPr>
        <w:ind w:left="720"/>
        <w:jc w:val="both"/>
      </w:pPr>
      <w: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05D50F08" w14:textId="299B39AE" w:rsidR="00302F7B" w:rsidRDefault="00302F7B" w:rsidP="00432E5C">
      <w:pPr>
        <w:ind w:left="720"/>
        <w:jc w:val="both"/>
      </w:pPr>
      <w: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w:t>
      </w:r>
      <w:r>
        <w:lastRenderedPageBreak/>
        <w:t>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3007E4F" w14:textId="1C70FFD3" w:rsidR="00432E5C" w:rsidRDefault="004A2EFD" w:rsidP="004A2EFD">
      <w:pPr>
        <w:ind w:left="360"/>
        <w:jc w:val="both"/>
      </w:pPr>
      <w:r>
        <w:t>(2) C</w:t>
      </w:r>
      <w:r w:rsidRPr="004A2EFD">
        <w:t xml:space="preserve">ontractor </w:t>
      </w:r>
      <w:r>
        <w:t>agrees to include</w:t>
      </w:r>
      <w:r w:rsidRPr="004A2EFD">
        <w:t xml:space="preserve"> th</w:t>
      </w:r>
      <w:r>
        <w:t>e</w:t>
      </w:r>
      <w:r w:rsidRPr="004A2EFD">
        <w:t xml:space="preserve"> equal opportunity clause </w:t>
      </w:r>
      <w:r>
        <w:t xml:space="preserve">above </w:t>
      </w:r>
      <w:r w:rsidRPr="004A2EFD">
        <w:t>in each of its nonexempt subcontracts.</w:t>
      </w:r>
    </w:p>
    <w:p w14:paraId="40013A5B" w14:textId="74E094A2" w:rsidR="00805B9E" w:rsidRDefault="004A2EFD" w:rsidP="00805B9E">
      <w:pPr>
        <w:pStyle w:val="ListParagraph"/>
        <w:numPr>
          <w:ilvl w:val="0"/>
          <w:numId w:val="6"/>
        </w:numPr>
        <w:ind w:left="360"/>
        <w:jc w:val="both"/>
      </w:pPr>
      <w:r w:rsidRPr="004A2EFD">
        <w:rPr>
          <w:b/>
          <w:bCs/>
          <w:u w:val="single"/>
        </w:rPr>
        <w:t>TITLE VI OF THE CIVIL RIGHTS ACT OF 1964.</w:t>
      </w:r>
      <w:r>
        <w:t xml:space="preserve">  </w:t>
      </w:r>
      <w:r w:rsidR="00F41CE3">
        <w:t xml:space="preserve">The contractor shall comply with Title VI of the Civil Rights Act of 1964, which prohibits recipients of federal financial assistance from excluding from a program or activity, denying benefits of, or otherwise discriminating against a person on the basis of race, color, or national origin (42 U.S.C. </w:t>
      </w:r>
      <w:r w:rsidR="00F41CE3">
        <w:rPr>
          <w:rFonts w:cstheme="minorHAnsi"/>
        </w:rPr>
        <w:t>§</w:t>
      </w:r>
      <w:r w:rsidR="00F41CE3">
        <w:t xml:space="preserve"> 2000d et seq.), as implemented by the Department of Treasury’s Title VI regulations, 31 CFR Part 22, which are herein incorporated by reference and made a part of this contract (or agreement). Title VI also includes protection to persons with “Limited English Proficiency” in any program or activity receiving federal financial assistance, 42 U.S.C. </w:t>
      </w:r>
      <w:r w:rsidR="00251DF3" w:rsidRPr="00251DF3">
        <w:t>§</w:t>
      </w:r>
      <w:r w:rsidR="00251DF3">
        <w:t xml:space="preserve"> 2000d et seq., as implemented </w:t>
      </w:r>
      <w:r w:rsidR="00251DF3" w:rsidRPr="00251DF3">
        <w:t>by the Department of Treasury’s Title VI regulations, 31 CFR Part 22, which are herein incorporated by reference and made a part of this contract or agreement.</w:t>
      </w:r>
    </w:p>
    <w:p w14:paraId="234D42B9" w14:textId="77777777" w:rsidR="001345EB" w:rsidRDefault="001345EB" w:rsidP="001345EB">
      <w:pPr>
        <w:pStyle w:val="ListParagraph"/>
        <w:ind w:left="360"/>
        <w:jc w:val="both"/>
      </w:pPr>
    </w:p>
    <w:p w14:paraId="2C4DD298" w14:textId="77777777" w:rsidR="001345EB" w:rsidRPr="0031611D" w:rsidRDefault="001345EB" w:rsidP="001345EB">
      <w:pPr>
        <w:pStyle w:val="ListParagraph"/>
        <w:numPr>
          <w:ilvl w:val="0"/>
          <w:numId w:val="6"/>
        </w:numPr>
        <w:tabs>
          <w:tab w:val="left" w:pos="360"/>
        </w:tabs>
        <w:ind w:left="360"/>
        <w:jc w:val="both"/>
      </w:pPr>
      <w:r>
        <w:rPr>
          <w:b/>
          <w:bCs/>
          <w:u w:val="single"/>
        </w:rPr>
        <w:t>OTHER NON-DISCRIMINATION STATUTES.</w:t>
      </w:r>
      <w:r>
        <w:t xml:space="preserve"> Contractor acknowledges that the [</w:t>
      </w:r>
      <w:r w:rsidRPr="000B09D4">
        <w:rPr>
          <w:highlight w:val="yellow"/>
        </w:rPr>
        <w:t>member organization</w:t>
      </w:r>
      <w:r>
        <w:t>] is bound by and agrees, to the extent applicable to contractor, to abide by the provisions contained in the federal statutes enumerated below and any other federal statutes and regulations that may be applicable to the expenditure of Fiscal Recovery Funds: The Fair Housing Act, Title VIII of the Civil Rights Act of 1968 (42 U.S.C. §§ 3601 et seq.), which prohibits discrimination in housing on the basis of race, color, religion, national origin, sex, familial status, or disability; Section 504 of the Rehabilitation Act of 1973, as amended (29 U.S.C. § 794), which prohibits discrimination on the basis of disability under any program or activity receiving federal financial assistance; The Age Discrimination Act of 1975, as amended (42 U.S.C. §§ 6101 et seq.), and Treasury’s implementing regulations at 31 C.F.R. Part 23, which prohibit discrimination on the basis of age in programs or activities receiving federal financial assistance; and Title II of the Americans with Disabilities Act of 1990, as amended (42 U.S.C. §§ 12101 et seq.), which prohibits discrimination on the basis of disability in programs, activities, and services provided or made available by state and local governments or instrumentalities or agencies thereto.</w:t>
      </w:r>
    </w:p>
    <w:p w14:paraId="77041E3E" w14:textId="77777777" w:rsidR="00F41CE3" w:rsidRDefault="00F41CE3" w:rsidP="00F41CE3">
      <w:pPr>
        <w:pStyle w:val="ListParagraph"/>
        <w:ind w:left="360"/>
        <w:jc w:val="both"/>
      </w:pPr>
    </w:p>
    <w:p w14:paraId="0C73624E" w14:textId="77777777" w:rsidR="004A2EFD" w:rsidRPr="004A2EFD" w:rsidRDefault="0084456C" w:rsidP="001A3E59">
      <w:pPr>
        <w:pStyle w:val="ListParagraph"/>
        <w:numPr>
          <w:ilvl w:val="0"/>
          <w:numId w:val="6"/>
        </w:numPr>
        <w:ind w:left="360"/>
        <w:jc w:val="both"/>
        <w:rPr>
          <w:b/>
          <w:bCs/>
          <w:u w:val="single"/>
        </w:rPr>
      </w:pPr>
      <w:r>
        <w:rPr>
          <w:b/>
          <w:bCs/>
          <w:u w:val="single"/>
        </w:rPr>
        <w:t xml:space="preserve">COPELAND </w:t>
      </w:r>
      <w:r w:rsidR="00A70BAB" w:rsidRPr="0084456C">
        <w:rPr>
          <w:b/>
          <w:bCs/>
          <w:u w:val="single"/>
        </w:rPr>
        <w:t xml:space="preserve">ANTI–KICKBACK </w:t>
      </w:r>
      <w:r>
        <w:rPr>
          <w:b/>
          <w:bCs/>
          <w:u w:val="single"/>
        </w:rPr>
        <w:t>ACT</w:t>
      </w:r>
      <w:r w:rsidR="00A70BAB" w:rsidRPr="0084456C">
        <w:rPr>
          <w:b/>
          <w:bCs/>
          <w:u w:val="single"/>
        </w:rPr>
        <w:t>.</w:t>
      </w:r>
      <w:r w:rsidR="0081447F">
        <w:t xml:space="preserve">  </w:t>
      </w:r>
    </w:p>
    <w:p w14:paraId="418EF69E" w14:textId="77777777" w:rsidR="004A2EFD" w:rsidRDefault="004A2EFD" w:rsidP="004A2EFD">
      <w:pPr>
        <w:pStyle w:val="ListParagraph"/>
      </w:pPr>
    </w:p>
    <w:p w14:paraId="256B7412" w14:textId="56207E55" w:rsidR="00302F7B" w:rsidRPr="004A2EFD" w:rsidRDefault="004A2EFD" w:rsidP="000B09D4">
      <w:pPr>
        <w:pStyle w:val="ListParagraph"/>
        <w:numPr>
          <w:ilvl w:val="0"/>
          <w:numId w:val="16"/>
        </w:numPr>
        <w:ind w:left="360" w:firstLine="0"/>
        <w:jc w:val="both"/>
        <w:rPr>
          <w:b/>
          <w:bCs/>
          <w:u w:val="single"/>
        </w:rPr>
      </w:pPr>
      <w:r w:rsidRPr="004A2EFD">
        <w:rPr>
          <w:b/>
          <w:bCs/>
          <w:u w:val="single"/>
        </w:rPr>
        <w:t>Contractor</w:t>
      </w:r>
      <w:r w:rsidRPr="004A2EFD">
        <w:rPr>
          <w:b/>
          <w:bCs/>
        </w:rPr>
        <w:t>.</w:t>
      </w:r>
      <w:r>
        <w:t xml:space="preserve"> </w:t>
      </w:r>
      <w:r w:rsidR="00FC0AF2">
        <w:t xml:space="preserve">Contractor </w:t>
      </w:r>
      <w:r w:rsidR="0084456C">
        <w:t xml:space="preserve">agrees it shall comply with </w:t>
      </w:r>
      <w:r w:rsidR="0084456C" w:rsidRPr="0084456C">
        <w:t xml:space="preserve">the Copeland “Anti–Kickback” Act (40 U.S.C. 3145), as supplemented by Department of Labor regulations (29 CFR Part 3, “Contractors and Subcontractors on Public Building or Public Work Financed in Whole or in Part by Loans or Grants from the United States”). </w:t>
      </w:r>
      <w:r w:rsidR="008122CB">
        <w:t xml:space="preserve">The obligations thereunder include, but are not limited to, the requirement that Contractor </w:t>
      </w:r>
      <w:r w:rsidR="00FC0AF2" w:rsidRPr="00FC0AF2">
        <w:t>shall furnish each week a statement with respect to the wages paid each of its employees engaged on work covered by 29 C</w:t>
      </w:r>
      <w:r w:rsidR="00FC0AF2">
        <w:t>.</w:t>
      </w:r>
      <w:r w:rsidR="00FC0AF2" w:rsidRPr="00FC0AF2">
        <w:t>F</w:t>
      </w:r>
      <w:r w:rsidR="00FC0AF2">
        <w:t>.</w:t>
      </w:r>
      <w:r w:rsidR="00FC0AF2" w:rsidRPr="00FC0AF2">
        <w:t>R</w:t>
      </w:r>
      <w:r w:rsidR="00FC0AF2">
        <w:t>.</w:t>
      </w:r>
      <w:r w:rsidR="00FC0AF2" w:rsidRPr="00FC0AF2">
        <w:t xml:space="preserve"> Part 3</w:t>
      </w:r>
      <w:r w:rsidR="00FC0AF2">
        <w:t xml:space="preserve"> and </w:t>
      </w:r>
      <w:r w:rsidR="00FC0AF2" w:rsidRPr="00FC0AF2">
        <w:t>29 C</w:t>
      </w:r>
      <w:r w:rsidR="00FC0AF2">
        <w:t>.</w:t>
      </w:r>
      <w:r w:rsidR="00FC0AF2" w:rsidRPr="00FC0AF2">
        <w:t>F</w:t>
      </w:r>
      <w:r w:rsidR="00FC0AF2">
        <w:t>.</w:t>
      </w:r>
      <w:r w:rsidR="00FC0AF2" w:rsidRPr="00FC0AF2">
        <w:t>R</w:t>
      </w:r>
      <w:r w:rsidR="00FC0AF2">
        <w:t>.</w:t>
      </w:r>
      <w:r w:rsidR="00FC0AF2" w:rsidRPr="00FC0AF2">
        <w:t xml:space="preserve"> Part </w:t>
      </w:r>
      <w:r w:rsidR="00FC0AF2">
        <w:t>5</w:t>
      </w:r>
      <w:r w:rsidR="00FC0AF2" w:rsidRPr="00FC0AF2">
        <w:t xml:space="preserve"> during the preceding weekly payroll period. This </w:t>
      </w:r>
      <w:r w:rsidR="004363A6">
        <w:t xml:space="preserve">statement </w:t>
      </w:r>
      <w:r w:rsidR="00FC0AF2" w:rsidRPr="00FC0AF2">
        <w:t xml:space="preserve">shall </w:t>
      </w:r>
      <w:r w:rsidR="004363A6">
        <w:t>include a “S</w:t>
      </w:r>
      <w:r w:rsidR="004363A6" w:rsidRPr="00FC0AF2">
        <w:t xml:space="preserve">tatement </w:t>
      </w:r>
      <w:r w:rsidR="004363A6">
        <w:t xml:space="preserve">of Compliance” </w:t>
      </w:r>
      <w:r w:rsidR="00FC0AF2" w:rsidRPr="00FC0AF2">
        <w:t xml:space="preserve">executed by the </w:t>
      </w:r>
      <w:r w:rsidR="008122CB">
        <w:t>C</w:t>
      </w:r>
      <w:r w:rsidR="00FC0AF2" w:rsidRPr="00FC0AF2">
        <w:t xml:space="preserve">ontractor or </w:t>
      </w:r>
      <w:r w:rsidR="004363A6">
        <w:t>S</w:t>
      </w:r>
      <w:r w:rsidR="00FC0AF2" w:rsidRPr="00FC0AF2">
        <w:t xml:space="preserve">ubcontractor or by an authorized officer or employee of the </w:t>
      </w:r>
      <w:r w:rsidR="008122CB">
        <w:t>C</w:t>
      </w:r>
      <w:r w:rsidR="00FC0AF2" w:rsidRPr="00FC0AF2">
        <w:t xml:space="preserve">ontractor or </w:t>
      </w:r>
      <w:r w:rsidR="008122CB">
        <w:t>S</w:t>
      </w:r>
      <w:r w:rsidR="00FC0AF2" w:rsidRPr="00FC0AF2">
        <w:t xml:space="preserve">ubcontractor who supervises the payment of </w:t>
      </w:r>
      <w:proofErr w:type="gramStart"/>
      <w:r w:rsidR="00FC0AF2" w:rsidRPr="00FC0AF2">
        <w:t>wages, and</w:t>
      </w:r>
      <w:proofErr w:type="gramEnd"/>
      <w:r w:rsidR="00FC0AF2" w:rsidRPr="00FC0AF2">
        <w:t xml:space="preserve"> shall be on the back of Form WH 347, “Payroll (For Contractors Optional Use)” or on any form with identical wording. Copies of WH 347 may be obtained from the </w:t>
      </w:r>
      <w:r w:rsidR="00FC0AF2" w:rsidRPr="00FC0AF2">
        <w:lastRenderedPageBreak/>
        <w:t xml:space="preserve">Government contracting or sponsoring agency or from the Wage and Hour Division Web site at </w:t>
      </w:r>
      <w:hyperlink r:id="rId7" w:history="1">
        <w:r w:rsidR="0084456C" w:rsidRPr="00717E67">
          <w:rPr>
            <w:rStyle w:val="Hyperlink"/>
          </w:rPr>
          <w:t>https://www.dol.gov/agencies/whd/government-contracts/construction/payroll-certification</w:t>
        </w:r>
      </w:hyperlink>
      <w:r w:rsidR="0084456C">
        <w:t xml:space="preserve"> </w:t>
      </w:r>
      <w:r w:rsidR="00FC0AF2" w:rsidRPr="00FC0AF2">
        <w:t>or its successor site.</w:t>
      </w:r>
      <w:r w:rsidR="00FC0AF2">
        <w:t xml:space="preserve"> </w:t>
      </w:r>
      <w:r w:rsidR="0081447F" w:rsidRPr="0081447F">
        <w:t xml:space="preserve">The </w:t>
      </w:r>
      <w:r w:rsidR="008122CB">
        <w:t>Contractor</w:t>
      </w:r>
      <w:r w:rsidR="0081447F" w:rsidRPr="0081447F">
        <w:t xml:space="preserve"> shall comply with all</w:t>
      </w:r>
      <w:r w:rsidR="008122CB">
        <w:t xml:space="preserve"> other</w:t>
      </w:r>
      <w:r w:rsidR="0081447F" w:rsidRPr="0081447F">
        <w:t xml:space="preserve"> applicable "Anti-Kickback" regulations </w:t>
      </w:r>
      <w:r w:rsidR="004363A6">
        <w:t xml:space="preserve">in </w:t>
      </w:r>
      <w:r w:rsidR="004363A6" w:rsidRPr="0084456C">
        <w:t>29 CFR Part 3</w:t>
      </w:r>
      <w:r w:rsidR="004363A6">
        <w:t xml:space="preserve"> </w:t>
      </w:r>
      <w:r w:rsidR="0081447F" w:rsidRPr="0081447F">
        <w:t xml:space="preserve">and shall insert appropriate provisions in all subcontracts covering work under this Contract to ensure compliance by the Subcontractors with such </w:t>
      </w:r>
      <w:proofErr w:type="gramStart"/>
      <w:r w:rsidR="0081447F" w:rsidRPr="0081447F">
        <w:t>regulations, and</w:t>
      </w:r>
      <w:proofErr w:type="gramEnd"/>
      <w:r w:rsidR="0081447F" w:rsidRPr="0081447F">
        <w:t xml:space="preserve"> shall be responsible for the submission of affidavits required of Subcontractors thereunder except as the Secretary of Labor may specifically provide for variations of or exemptions from the requirements thereof.</w:t>
      </w:r>
    </w:p>
    <w:p w14:paraId="379B560D" w14:textId="77777777" w:rsidR="004A2EFD" w:rsidRPr="004A2EFD" w:rsidRDefault="004A2EFD" w:rsidP="000B09D4">
      <w:pPr>
        <w:pStyle w:val="ListParagraph"/>
        <w:ind w:left="360"/>
        <w:jc w:val="both"/>
        <w:rPr>
          <w:b/>
          <w:bCs/>
          <w:u w:val="single"/>
        </w:rPr>
      </w:pPr>
    </w:p>
    <w:p w14:paraId="1AF1C23D" w14:textId="2CC4C1D8" w:rsidR="004A2EFD" w:rsidRPr="004A2EFD" w:rsidRDefault="004A2EFD" w:rsidP="000B09D4">
      <w:pPr>
        <w:pStyle w:val="ListParagraph"/>
        <w:numPr>
          <w:ilvl w:val="0"/>
          <w:numId w:val="16"/>
        </w:numPr>
        <w:ind w:left="360" w:firstLine="0"/>
        <w:jc w:val="both"/>
        <w:rPr>
          <w:b/>
          <w:bCs/>
          <w:u w:val="single"/>
        </w:rPr>
      </w:pPr>
      <w:r w:rsidRPr="004A2EFD">
        <w:rPr>
          <w:b/>
          <w:bCs/>
          <w:u w:val="single"/>
        </w:rPr>
        <w:t>Subcontracts</w:t>
      </w:r>
      <w:r w:rsidRPr="004A2EFD">
        <w:rPr>
          <w:b/>
          <w:bCs/>
        </w:rPr>
        <w:t>.</w:t>
      </w:r>
      <w:r>
        <w:t xml:space="preserve"> The contractor or subcontractor shall insert in any subcontracts the clause above and such other clauses as</w:t>
      </w:r>
      <w:r w:rsidR="0004070C">
        <w:t xml:space="preserve"> the</w:t>
      </w:r>
      <w:r>
        <w:t xml:space="preserve"> </w:t>
      </w:r>
      <w:r w:rsidR="0004070C" w:rsidRPr="0004070C">
        <w:t>Department of Treasury</w:t>
      </w:r>
      <w:r>
        <w:t xml:space="preserve"> may by appropriate instructions require, </w:t>
      </w:r>
      <w:proofErr w:type="gramStart"/>
      <w:r>
        <w:t>and also</w:t>
      </w:r>
      <w:proofErr w:type="gramEnd"/>
      <w:r>
        <w:t xml:space="preserve"> a clause requiring the subcontractors to include these clauses in any lower tier subcontracts. The prime contractor shall be responsible for the compliance by any subcontractor or lower tier subcontractor with </w:t>
      </w:r>
      <w:proofErr w:type="gramStart"/>
      <w:r>
        <w:t>all of</w:t>
      </w:r>
      <w:proofErr w:type="gramEnd"/>
      <w:r>
        <w:t xml:space="preserve"> these contract clauses.</w:t>
      </w:r>
    </w:p>
    <w:p w14:paraId="6DF0B513" w14:textId="77777777" w:rsidR="004A2EFD" w:rsidRPr="004A2EFD" w:rsidRDefault="004A2EFD" w:rsidP="000B09D4">
      <w:pPr>
        <w:pStyle w:val="ListParagraph"/>
        <w:ind w:left="360"/>
        <w:rPr>
          <w:b/>
          <w:bCs/>
          <w:u w:val="single"/>
        </w:rPr>
      </w:pPr>
    </w:p>
    <w:p w14:paraId="761248B8" w14:textId="396FC588" w:rsidR="008122CB" w:rsidRPr="001345EB" w:rsidRDefault="004A2EFD" w:rsidP="000B09D4">
      <w:pPr>
        <w:pStyle w:val="ListParagraph"/>
        <w:numPr>
          <w:ilvl w:val="0"/>
          <w:numId w:val="16"/>
        </w:numPr>
        <w:ind w:left="360" w:firstLine="0"/>
        <w:jc w:val="both"/>
        <w:rPr>
          <w:b/>
          <w:bCs/>
          <w:u w:val="single"/>
        </w:rPr>
      </w:pPr>
      <w:r w:rsidRPr="000B09D4">
        <w:rPr>
          <w:b/>
          <w:bCs/>
          <w:u w:val="single"/>
        </w:rPr>
        <w:t>Breach</w:t>
      </w:r>
      <w:r w:rsidRPr="000B09D4">
        <w:rPr>
          <w:b/>
          <w:bCs/>
        </w:rPr>
        <w:t>.</w:t>
      </w:r>
      <w:r>
        <w:t xml:space="preserve"> A breach of the contract clauses above may be grounds for termination of the contract, and for debarment</w:t>
      </w:r>
      <w:r w:rsidR="000B09D4" w:rsidRPr="000B09D4">
        <w:t xml:space="preserve"> </w:t>
      </w:r>
      <w:r w:rsidR="000B09D4">
        <w:t>as a contractor and subcontractor as provided in 29 C.F.R. § 5.12.</w:t>
      </w:r>
    </w:p>
    <w:p w14:paraId="78D01C9D" w14:textId="77777777" w:rsidR="001345EB" w:rsidRPr="001345EB" w:rsidRDefault="001345EB" w:rsidP="001345EB">
      <w:pPr>
        <w:pStyle w:val="ListParagraph"/>
        <w:rPr>
          <w:b/>
          <w:bCs/>
          <w:u w:val="single"/>
        </w:rPr>
      </w:pPr>
    </w:p>
    <w:p w14:paraId="5000A7E9" w14:textId="1E1DB02E" w:rsidR="008122CB" w:rsidRPr="00EC0890" w:rsidRDefault="007C4F46" w:rsidP="004A2EFD">
      <w:pPr>
        <w:pStyle w:val="ListParagraph"/>
        <w:numPr>
          <w:ilvl w:val="0"/>
          <w:numId w:val="16"/>
        </w:numPr>
        <w:ind w:left="360"/>
        <w:jc w:val="both"/>
      </w:pPr>
      <w:r w:rsidRPr="007C4F46">
        <w:rPr>
          <w:b/>
          <w:bCs/>
          <w:u w:val="single"/>
        </w:rPr>
        <w:t>C</w:t>
      </w:r>
      <w:r>
        <w:rPr>
          <w:b/>
          <w:bCs/>
          <w:u w:val="single"/>
        </w:rPr>
        <w:t>ONTRACT</w:t>
      </w:r>
      <w:r w:rsidRPr="007C4F46">
        <w:rPr>
          <w:b/>
          <w:bCs/>
          <w:u w:val="single"/>
        </w:rPr>
        <w:t xml:space="preserve"> W</w:t>
      </w:r>
      <w:r>
        <w:rPr>
          <w:b/>
          <w:bCs/>
          <w:u w:val="single"/>
        </w:rPr>
        <w:t>ORK</w:t>
      </w:r>
      <w:r w:rsidRPr="007C4F46">
        <w:rPr>
          <w:b/>
          <w:bCs/>
          <w:u w:val="single"/>
        </w:rPr>
        <w:t xml:space="preserve"> H</w:t>
      </w:r>
      <w:r>
        <w:rPr>
          <w:b/>
          <w:bCs/>
          <w:u w:val="single"/>
        </w:rPr>
        <w:t>OURS</w:t>
      </w:r>
      <w:r w:rsidRPr="007C4F46">
        <w:rPr>
          <w:b/>
          <w:bCs/>
          <w:u w:val="single"/>
        </w:rPr>
        <w:t xml:space="preserve"> </w:t>
      </w:r>
      <w:r>
        <w:rPr>
          <w:b/>
          <w:bCs/>
          <w:u w:val="single"/>
        </w:rPr>
        <w:t>AND</w:t>
      </w:r>
      <w:r w:rsidRPr="007C4F46">
        <w:rPr>
          <w:b/>
          <w:bCs/>
          <w:u w:val="single"/>
        </w:rPr>
        <w:t xml:space="preserve"> S</w:t>
      </w:r>
      <w:r>
        <w:rPr>
          <w:b/>
          <w:bCs/>
          <w:u w:val="single"/>
        </w:rPr>
        <w:t>AFETY</w:t>
      </w:r>
      <w:r w:rsidRPr="007C4F46">
        <w:rPr>
          <w:b/>
          <w:bCs/>
          <w:u w:val="single"/>
        </w:rPr>
        <w:t xml:space="preserve"> S</w:t>
      </w:r>
      <w:r>
        <w:rPr>
          <w:b/>
          <w:bCs/>
          <w:u w:val="single"/>
        </w:rPr>
        <w:t>TANDARDS</w:t>
      </w:r>
      <w:r w:rsidRPr="007C4F46">
        <w:rPr>
          <w:b/>
          <w:bCs/>
          <w:u w:val="single"/>
        </w:rPr>
        <w:t xml:space="preserve"> A</w:t>
      </w:r>
      <w:r>
        <w:rPr>
          <w:b/>
          <w:bCs/>
          <w:u w:val="single"/>
        </w:rPr>
        <w:t>CT.</w:t>
      </w:r>
      <w:r w:rsidRPr="007C4F46">
        <w:t xml:space="preserve">  </w:t>
      </w:r>
      <w:r>
        <w:t>As used in this paragraph, the terms “laborers” and “mechanics” include watchmen and guards.</w:t>
      </w:r>
    </w:p>
    <w:p w14:paraId="3EBB94AA" w14:textId="77777777" w:rsidR="00EC0890" w:rsidRPr="00EC0890" w:rsidRDefault="00EC0890" w:rsidP="00EC0890">
      <w:pPr>
        <w:pStyle w:val="ListParagraph"/>
      </w:pPr>
    </w:p>
    <w:p w14:paraId="73FCA7BB" w14:textId="5D53F2F4" w:rsidR="00EC0890" w:rsidRDefault="00EC0890" w:rsidP="00EC0890">
      <w:pPr>
        <w:pStyle w:val="ListParagraph"/>
        <w:numPr>
          <w:ilvl w:val="1"/>
          <w:numId w:val="1"/>
        </w:numPr>
        <w:ind w:left="720"/>
        <w:jc w:val="both"/>
      </w:pPr>
      <w:r w:rsidRPr="000B09D4">
        <w:rPr>
          <w:b/>
          <w:bCs/>
          <w:u w:val="single"/>
        </w:rPr>
        <w:t>Overtime requirements</w:t>
      </w:r>
      <w:r w:rsidRPr="000B09D4">
        <w:rPr>
          <w:b/>
          <w:bCs/>
        </w:rPr>
        <w:t>.</w:t>
      </w:r>
      <w: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40 hours in such workweek unless such laborer or mechanic receives compensation at a rate not less than one and one-half times the basic rate of pay for all hours worked in excess of 40 hours in such workweek.</w:t>
      </w:r>
      <w:r w:rsidR="000A6360">
        <w:t xml:space="preserve">  </w:t>
      </w:r>
      <w:r w:rsidR="000A6360" w:rsidRPr="000A6360">
        <w:t xml:space="preserve">The Contractor or Subcontractor shall comply with all other applicable Contract Work Hours and Safety Standards Act regulations in 29 CFR Part </w:t>
      </w:r>
      <w:r w:rsidR="000A6360">
        <w:t>5</w:t>
      </w:r>
      <w:r w:rsidR="000A6360" w:rsidRPr="000A6360">
        <w:t xml:space="preserve"> and shall insert appropriate provisions in all subcontracts covering work under this Contract to ensure compliance by the Subcontractors with such regulations, and shall be responsible for the submission of affidavits required of Subcontractors thereunder except as the Secretary of Labor may specifically provide for variations of or exemptions from the requirements thereof.</w:t>
      </w:r>
    </w:p>
    <w:p w14:paraId="29A77BCB" w14:textId="77777777" w:rsidR="00EC0890" w:rsidRDefault="00EC0890" w:rsidP="00EC0890">
      <w:pPr>
        <w:pStyle w:val="ListParagraph"/>
        <w:jc w:val="both"/>
      </w:pPr>
    </w:p>
    <w:p w14:paraId="7B4443E5" w14:textId="6A3CA600" w:rsidR="00EC0890" w:rsidRDefault="00EC0890" w:rsidP="00EC0890">
      <w:pPr>
        <w:pStyle w:val="ListParagraph"/>
        <w:numPr>
          <w:ilvl w:val="1"/>
          <w:numId w:val="1"/>
        </w:numPr>
        <w:ind w:left="720"/>
        <w:jc w:val="both"/>
      </w:pPr>
      <w:r w:rsidRPr="000B09D4">
        <w:rPr>
          <w:b/>
          <w:bCs/>
          <w:u w:val="single"/>
        </w:rPr>
        <w:t>Violation; liability for unpaid wages; liquidated damages</w:t>
      </w:r>
      <w:r w:rsidRPr="000B09D4">
        <w:rPr>
          <w:b/>
          <w:bCs/>
        </w:rPr>
        <w:t>.</w:t>
      </w:r>
      <w:r>
        <w:t xml:space="preserve">  In the event of any violation of the clause set forth in subparagraph (1) of this paragraph (F), the Contractor and any Subcontractor responsible therefore shall be liable for the unpaid wages. In addition, such Contractor and Subcontractor shall be liable for liquidated damages. Such liquidated damages shall be computed with respect to each individual laborer or mechanic, including watchmen and guards, employed in violation of the clause set forth in subparagraph (1) of this paragraph</w:t>
      </w:r>
      <w:r w:rsidR="00285419">
        <w:t xml:space="preserve"> (F)</w:t>
      </w:r>
      <w:r>
        <w:t>, in the sum of $</w:t>
      </w:r>
      <w:r w:rsidRPr="00EC0890">
        <w:t xml:space="preserve">29 </w:t>
      </w:r>
      <w:r>
        <w:t xml:space="preserve">for each calendar day (or higher as provided by </w:t>
      </w:r>
      <w:r w:rsidR="00094432">
        <w:t xml:space="preserve">any </w:t>
      </w:r>
      <w:r>
        <w:t>subsequent federal regulations) on which such individual was required or permitted to work in excess of the standard workweek of 40 hours without payment of the overtime wages required by the clause set forth in sub-paragraph (1) of this paragraph (F).</w:t>
      </w:r>
    </w:p>
    <w:p w14:paraId="61DB2D89" w14:textId="77777777" w:rsidR="000B09D4" w:rsidRDefault="000B09D4" w:rsidP="000B09D4">
      <w:pPr>
        <w:pStyle w:val="ListParagraph"/>
      </w:pPr>
    </w:p>
    <w:p w14:paraId="33B92C09" w14:textId="06C7E421" w:rsidR="000B09D4" w:rsidRDefault="000B09D4" w:rsidP="00EC0890">
      <w:pPr>
        <w:pStyle w:val="ListParagraph"/>
        <w:numPr>
          <w:ilvl w:val="1"/>
          <w:numId w:val="1"/>
        </w:numPr>
        <w:ind w:left="720"/>
        <w:jc w:val="both"/>
      </w:pPr>
      <w:r w:rsidRPr="000B09D4">
        <w:rPr>
          <w:b/>
          <w:bCs/>
          <w:u w:val="single"/>
        </w:rPr>
        <w:lastRenderedPageBreak/>
        <w:t>Withholding for unpaid wages and liquidated damages</w:t>
      </w:r>
      <w:r w:rsidRPr="000B09D4">
        <w:rPr>
          <w:b/>
          <w:bCs/>
        </w:rPr>
        <w:t>.</w:t>
      </w:r>
      <w:r>
        <w:t xml:space="preserve">  The Department of Treasury or the </w:t>
      </w:r>
      <w:bookmarkStart w:id="0" w:name="_Hlk147409294"/>
      <w:r w:rsidR="001345EB">
        <w:t>[</w:t>
      </w:r>
      <w:r w:rsidRPr="000B09D4">
        <w:rPr>
          <w:highlight w:val="yellow"/>
        </w:rPr>
        <w:t>member organization</w:t>
      </w:r>
      <w:bookmarkEnd w:id="0"/>
      <w:r w:rsidR="001345EB">
        <w:t>]</w:t>
      </w:r>
      <w:r>
        <w:t xml:space="preserv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008E40B0" w14:textId="77777777" w:rsidR="00094432" w:rsidRDefault="00094432" w:rsidP="00094432">
      <w:pPr>
        <w:pStyle w:val="ListParagraph"/>
      </w:pPr>
    </w:p>
    <w:p w14:paraId="57480254" w14:textId="3D877FFC" w:rsidR="00094432" w:rsidRDefault="00B81B52" w:rsidP="00EC0890">
      <w:pPr>
        <w:pStyle w:val="ListParagraph"/>
        <w:numPr>
          <w:ilvl w:val="1"/>
          <w:numId w:val="1"/>
        </w:numPr>
        <w:ind w:left="720"/>
        <w:jc w:val="both"/>
      </w:pPr>
      <w:r w:rsidRPr="000B09D4">
        <w:rPr>
          <w:b/>
          <w:bCs/>
          <w:u w:val="single"/>
        </w:rPr>
        <w:t>Appeal of w</w:t>
      </w:r>
      <w:r w:rsidR="00094432" w:rsidRPr="000B09D4">
        <w:rPr>
          <w:b/>
          <w:bCs/>
          <w:u w:val="single"/>
        </w:rPr>
        <w:t>ithholding for unpaid wages and liquidated damages</w:t>
      </w:r>
      <w:r w:rsidR="00094432" w:rsidRPr="000B09D4">
        <w:rPr>
          <w:b/>
          <w:bCs/>
        </w:rPr>
        <w:t>.</w:t>
      </w:r>
      <w:r w:rsidR="00094432">
        <w:t xml:space="preserve"> </w:t>
      </w:r>
      <w:r w:rsidRPr="00B81B52">
        <w:t xml:space="preserve">Any contractor aggrieved by the withholding of liquidated damages shall have the right to appeal to the </w:t>
      </w:r>
      <w:r>
        <w:t>Secretary of the Treasury or her designee</w:t>
      </w:r>
      <w:r w:rsidRPr="00B81B52">
        <w:t>.</w:t>
      </w:r>
      <w:r>
        <w:t xml:space="preserve"> Any appeal shall be pursuant to the requirements and/or procedures contained in </w:t>
      </w:r>
      <w:r w:rsidRPr="00B81B52">
        <w:t>29 CFR Part 3</w:t>
      </w:r>
      <w:r>
        <w:t xml:space="preserve"> or any other applicable regulations.</w:t>
      </w:r>
    </w:p>
    <w:p w14:paraId="13C4FA68" w14:textId="77777777" w:rsidR="000A6360" w:rsidRDefault="000A6360" w:rsidP="000A6360">
      <w:pPr>
        <w:pStyle w:val="ListParagraph"/>
      </w:pPr>
    </w:p>
    <w:p w14:paraId="5A29E1B6" w14:textId="30AB5AC2" w:rsidR="000A6360" w:rsidRDefault="000A6360" w:rsidP="00EC0890">
      <w:pPr>
        <w:pStyle w:val="ListParagraph"/>
        <w:numPr>
          <w:ilvl w:val="1"/>
          <w:numId w:val="1"/>
        </w:numPr>
        <w:ind w:left="720"/>
        <w:jc w:val="both"/>
      </w:pPr>
      <w:r w:rsidRPr="000B09D4">
        <w:rPr>
          <w:b/>
          <w:bCs/>
          <w:u w:val="single"/>
        </w:rPr>
        <w:t>Subcontracts</w:t>
      </w:r>
      <w:r w:rsidRPr="000B09D4">
        <w:rPr>
          <w:b/>
          <w:bCs/>
        </w:rPr>
        <w:t>.</w:t>
      </w:r>
      <w:r>
        <w:t xml:space="preserve"> The Contractor or Subcontractor shall insert in any subcontracts the clauses set forth in subparagraph (1) through (</w:t>
      </w:r>
      <w:r w:rsidR="000B09D4">
        <w:t>5</w:t>
      </w:r>
      <w:r>
        <w:t>) of this paragraph (</w:t>
      </w:r>
      <w:r w:rsidR="000B09D4">
        <w:t>D</w:t>
      </w:r>
      <w:r>
        <w:t xml:space="preserve">) </w:t>
      </w:r>
      <w:proofErr w:type="gramStart"/>
      <w:r>
        <w:t>and also</w:t>
      </w:r>
      <w:proofErr w:type="gramEnd"/>
      <w:r>
        <w:t xml:space="preserve"> a clause requiring the Subcontractors to include these clauses in any lower tier subcontracts. The prime Contractor shall be responsible for compliance by any Subcontractor or lower tier subcontractor with the clauses set forth in subparagraphs (1) through (</w:t>
      </w:r>
      <w:r w:rsidR="000B09D4">
        <w:t>5</w:t>
      </w:r>
      <w:r>
        <w:t>) of this paragraph.</w:t>
      </w:r>
    </w:p>
    <w:p w14:paraId="4AEE2135" w14:textId="77777777" w:rsidR="0062205F" w:rsidRDefault="0062205F" w:rsidP="0062205F">
      <w:pPr>
        <w:pStyle w:val="ListParagraph"/>
      </w:pPr>
    </w:p>
    <w:p w14:paraId="211FD8B8" w14:textId="3803896A" w:rsidR="0062205F" w:rsidRDefault="0062205F" w:rsidP="004A2EFD">
      <w:pPr>
        <w:pStyle w:val="ListParagraph"/>
        <w:numPr>
          <w:ilvl w:val="0"/>
          <w:numId w:val="16"/>
        </w:numPr>
        <w:ind w:left="360"/>
        <w:jc w:val="both"/>
      </w:pPr>
      <w:r w:rsidRPr="0062205F">
        <w:rPr>
          <w:b/>
          <w:bCs/>
          <w:u w:val="single"/>
        </w:rPr>
        <w:t>RIGHTS TO INVENTIONS MADE UNDER A CONTRACT OR AGREEMENT</w:t>
      </w:r>
      <w:r w:rsidR="00F124E4">
        <w:rPr>
          <w:b/>
          <w:bCs/>
          <w:u w:val="single"/>
        </w:rPr>
        <w:t>.</w:t>
      </w:r>
      <w:r>
        <w:t xml:space="preserve"> </w:t>
      </w:r>
    </w:p>
    <w:p w14:paraId="1FD09EE0" w14:textId="77777777" w:rsidR="0062205F" w:rsidRDefault="0062205F" w:rsidP="0062205F">
      <w:pPr>
        <w:pStyle w:val="ListParagraph"/>
        <w:ind w:left="360"/>
        <w:jc w:val="both"/>
      </w:pPr>
    </w:p>
    <w:p w14:paraId="605F813E" w14:textId="344DA98B" w:rsidR="0062205F" w:rsidRDefault="00DE7671" w:rsidP="00DE7671">
      <w:pPr>
        <w:pStyle w:val="ListParagraph"/>
        <w:numPr>
          <w:ilvl w:val="0"/>
          <w:numId w:val="8"/>
        </w:numPr>
        <w:ind w:left="360" w:firstLine="0"/>
        <w:jc w:val="both"/>
      </w:pPr>
      <w:r w:rsidRPr="00DE7671">
        <w:rPr>
          <w:b/>
          <w:bCs/>
          <w:u w:val="single"/>
        </w:rPr>
        <w:t>Standard</w:t>
      </w:r>
      <w:r w:rsidRPr="00DE7671">
        <w:rPr>
          <w:b/>
          <w:bCs/>
        </w:rPr>
        <w:t>.</w:t>
      </w:r>
      <w:r w:rsidRPr="00DE7671">
        <w:t xml:space="preserve"> </w:t>
      </w:r>
      <w:r w:rsidR="0062205F">
        <w:t>If the federal award meets the definition of “</w:t>
      </w:r>
      <w:r w:rsidR="0062205F" w:rsidRPr="00DE7671">
        <w:t>funding agreement</w:t>
      </w:r>
      <w:r w:rsidR="0062205F">
        <w:t>” under 37</w:t>
      </w:r>
      <w:r w:rsidR="00085686">
        <w:t xml:space="preserve"> </w:t>
      </w:r>
      <w:r w:rsidR="0062205F">
        <w:t xml:space="preserve">C.F.R. § 401.2(a) and the </w:t>
      </w:r>
      <w:r w:rsidR="00085686" w:rsidRPr="00A5423E">
        <w:rPr>
          <w:highlight w:val="yellow"/>
        </w:rPr>
        <w:t>[member organization]</w:t>
      </w:r>
      <w:r w:rsidR="0062205F">
        <w:t xml:space="preserve"> wishes to enter into a contract with a small business firm or nonprofit organization regarding the substitution of parties, assignment or performance of experimental, developmental, or research work under that “funding agreement,” the non</w:t>
      </w:r>
      <w:r w:rsidR="001E5CFB">
        <w:t>-</w:t>
      </w:r>
      <w:r w:rsidR="0062205F">
        <w:t>Federal entity must comply with the requirements of 37 C.F.R. Part 401 (Rights to Inventions Made by Nonprofit Organizations and Small Business Firms</w:t>
      </w:r>
      <w:r>
        <w:t xml:space="preserve"> </w:t>
      </w:r>
      <w:r w:rsidR="0062205F">
        <w:t>Under</w:t>
      </w:r>
      <w:r w:rsidRPr="00DE7671">
        <w:t xml:space="preserve"> </w:t>
      </w:r>
      <w:r>
        <w:t xml:space="preserve">Government Grants, Contracts and Cooperative Agreements), and any implementing regulations issued by </w:t>
      </w:r>
      <w:r w:rsidR="0004070C">
        <w:t xml:space="preserve">the Department of </w:t>
      </w:r>
      <w:r w:rsidR="0004070C" w:rsidRPr="0004070C">
        <w:t>Treasury</w:t>
      </w:r>
      <w:r>
        <w:t>. See 2 C.F.R. Part 200, Appendix II(F).</w:t>
      </w:r>
    </w:p>
    <w:p w14:paraId="7857896A" w14:textId="77777777" w:rsidR="00DE7671" w:rsidRDefault="00DE7671" w:rsidP="00DE7671">
      <w:pPr>
        <w:pStyle w:val="ListParagraph"/>
        <w:ind w:left="360"/>
        <w:jc w:val="both"/>
      </w:pPr>
    </w:p>
    <w:p w14:paraId="08225203" w14:textId="1D56F61D" w:rsidR="00DE7671" w:rsidRDefault="00DE7671" w:rsidP="00DE7671">
      <w:pPr>
        <w:pStyle w:val="ListParagraph"/>
        <w:numPr>
          <w:ilvl w:val="0"/>
          <w:numId w:val="8"/>
        </w:numPr>
        <w:ind w:left="360" w:firstLine="0"/>
        <w:jc w:val="both"/>
      </w:pPr>
      <w:r w:rsidRPr="00DE7671">
        <w:rPr>
          <w:b/>
          <w:bCs/>
          <w:u w:val="single"/>
        </w:rPr>
        <w:t>Applicability</w:t>
      </w:r>
      <w:r>
        <w:t>. This requirement applies to “</w:t>
      </w:r>
      <w:r w:rsidRPr="00DE7671">
        <w:rPr>
          <w:i/>
          <w:iCs/>
        </w:rPr>
        <w:t>funding agreements</w:t>
      </w:r>
      <w:r>
        <w:t>,” but it DOES NOT apply to the Public Assistance, Hazard Mitigation Grant Program, Fire Management Assistance Grant Program, Crisis Counseling Assistance and Training Grant Program, Disaster Case Management Grant Program, and Federal Assistance to Individuals and Households – Other Needs Assistance Grant Program, as federal awards under these programs do not meet the definition of “</w:t>
      </w:r>
      <w:r w:rsidRPr="00DE7671">
        <w:rPr>
          <w:i/>
          <w:iCs/>
        </w:rPr>
        <w:t>funding agreement</w:t>
      </w:r>
      <w:r>
        <w:t>.”</w:t>
      </w:r>
    </w:p>
    <w:p w14:paraId="430AB74D" w14:textId="77777777" w:rsidR="00DE7671" w:rsidRDefault="00DE7671" w:rsidP="00DE7671">
      <w:pPr>
        <w:pStyle w:val="ListParagraph"/>
        <w:ind w:left="360"/>
      </w:pPr>
    </w:p>
    <w:p w14:paraId="2C2C8583" w14:textId="494C98EE" w:rsidR="00DE7671" w:rsidRDefault="00DE7671" w:rsidP="00DE7671">
      <w:pPr>
        <w:pStyle w:val="ListParagraph"/>
        <w:numPr>
          <w:ilvl w:val="0"/>
          <w:numId w:val="8"/>
        </w:numPr>
        <w:ind w:left="360" w:firstLine="0"/>
        <w:jc w:val="both"/>
      </w:pPr>
      <w:r w:rsidRPr="00DE7671">
        <w:rPr>
          <w:b/>
          <w:bCs/>
          <w:u w:val="single"/>
        </w:rPr>
        <w:t>Funding Agreements Definition</w:t>
      </w:r>
      <w:r>
        <w:t xml:space="preserve">. The regulation at 37 C.F.R. § 401.2(a) defines “funding agreement” as any contract, grant, or cooperative agreement </w:t>
      </w:r>
      <w:proofErr w:type="gramStart"/>
      <w:r>
        <w:t>entered into</w:t>
      </w:r>
      <w:proofErr w:type="gramEnd"/>
      <w:r>
        <w:t xml:space="preserve"> between any Federal agency, other than the Tennessee Valley Authority, and any contractor for the performance of experimental, developmental, or research work funded in whole or in part by the Federal government. This term also includes any assignment, substitution of parties, or subcontract of any type </w:t>
      </w:r>
      <w:proofErr w:type="gramStart"/>
      <w:r>
        <w:t xml:space="preserve">entered </w:t>
      </w:r>
      <w:r>
        <w:lastRenderedPageBreak/>
        <w:t>into</w:t>
      </w:r>
      <w:proofErr w:type="gramEnd"/>
      <w:r>
        <w:t xml:space="preserve"> for the performance of experimental, developmental, or research work under a funding agreement as defined in the first sentence of this paragraph.</w:t>
      </w:r>
    </w:p>
    <w:p w14:paraId="1E5FE5ED" w14:textId="77777777" w:rsidR="000A6360" w:rsidRDefault="000A6360" w:rsidP="000A6360">
      <w:pPr>
        <w:pStyle w:val="ListParagraph"/>
      </w:pPr>
    </w:p>
    <w:p w14:paraId="326373DC" w14:textId="50D7F718" w:rsidR="00DE7671" w:rsidRPr="00DE7671" w:rsidRDefault="00657C38" w:rsidP="004A2EFD">
      <w:pPr>
        <w:pStyle w:val="ListParagraph"/>
        <w:numPr>
          <w:ilvl w:val="0"/>
          <w:numId w:val="16"/>
        </w:numPr>
        <w:ind w:left="360"/>
        <w:jc w:val="both"/>
        <w:rPr>
          <w:b/>
          <w:bCs/>
          <w:u w:val="single"/>
        </w:rPr>
      </w:pPr>
      <w:r w:rsidRPr="00657C38">
        <w:rPr>
          <w:b/>
          <w:bCs/>
          <w:u w:val="single"/>
        </w:rPr>
        <w:t>ENVIRONMENTAL COMPLIANCE.</w:t>
      </w:r>
      <w:r>
        <w:t xml:space="preserve">   </w:t>
      </w:r>
    </w:p>
    <w:p w14:paraId="082F2984" w14:textId="77777777" w:rsidR="00DE7671" w:rsidRPr="00DE7671" w:rsidRDefault="00DE7671" w:rsidP="00DE7671">
      <w:pPr>
        <w:pStyle w:val="ListParagraph"/>
        <w:ind w:left="360"/>
        <w:jc w:val="both"/>
        <w:rPr>
          <w:b/>
          <w:bCs/>
          <w:u w:val="single"/>
        </w:rPr>
      </w:pPr>
    </w:p>
    <w:p w14:paraId="572281C5" w14:textId="3B7FA41E" w:rsidR="0068166C" w:rsidRPr="00DE7671" w:rsidRDefault="00DE7671" w:rsidP="004162A4">
      <w:pPr>
        <w:pStyle w:val="ListParagraph"/>
        <w:numPr>
          <w:ilvl w:val="0"/>
          <w:numId w:val="9"/>
        </w:numPr>
        <w:ind w:left="360" w:firstLine="0"/>
        <w:jc w:val="both"/>
        <w:rPr>
          <w:b/>
          <w:bCs/>
          <w:u w:val="single"/>
        </w:rPr>
      </w:pPr>
      <w:r w:rsidRPr="00DE7671">
        <w:rPr>
          <w:b/>
          <w:bCs/>
          <w:u w:val="single"/>
        </w:rPr>
        <w:t>Standard</w:t>
      </w:r>
      <w:r w:rsidRPr="00DE7671">
        <w:rPr>
          <w:b/>
          <w:bCs/>
        </w:rPr>
        <w:t>.</w:t>
      </w:r>
      <w:r>
        <w:t xml:space="preserve"> </w:t>
      </w:r>
      <w:r w:rsidR="0020441F">
        <w:t>Contractor and/or Subcontractor agrees that it will comply</w:t>
      </w:r>
      <w:r w:rsidR="00657C38">
        <w:t xml:space="preserve"> </w:t>
      </w:r>
      <w:r w:rsidR="0020441F" w:rsidRPr="0020441F">
        <w:t xml:space="preserve">with all applicable standards, orders or regulations issued pursuant to the Clean Air Act (42 U.S.C. 7401–7671q) and the Federal Water Pollution Control Act as amended (33 U.S.C. 1251–1387). </w:t>
      </w:r>
      <w:r w:rsidR="0038606B" w:rsidRPr="0038606B">
        <w:t xml:space="preserve">Contractor and/or Subcontractor agrees that it </w:t>
      </w:r>
      <w:r w:rsidR="0038606B">
        <w:t>will report all v</w:t>
      </w:r>
      <w:r w:rsidR="0020441F" w:rsidRPr="0020441F">
        <w:t xml:space="preserve">iolations to the </w:t>
      </w:r>
      <w:r w:rsidR="0038606B" w:rsidRPr="0038606B">
        <w:t>U.S. Department of the Treasury</w:t>
      </w:r>
      <w:r w:rsidR="0020441F" w:rsidRPr="0020441F">
        <w:t xml:space="preserve"> and the Regional Office of the Environmental Protection Agency (EPA).</w:t>
      </w:r>
    </w:p>
    <w:p w14:paraId="2AC7DF8D" w14:textId="77777777" w:rsidR="00DE7671" w:rsidRPr="00DE7671" w:rsidRDefault="00DE7671" w:rsidP="004162A4">
      <w:pPr>
        <w:pStyle w:val="ListParagraph"/>
        <w:ind w:left="360"/>
        <w:jc w:val="both"/>
        <w:rPr>
          <w:b/>
          <w:bCs/>
          <w:u w:val="single"/>
        </w:rPr>
      </w:pPr>
    </w:p>
    <w:p w14:paraId="2FA02946" w14:textId="1F124EDF" w:rsidR="003F6BB4" w:rsidRPr="004162A4" w:rsidRDefault="00DE7671" w:rsidP="004162A4">
      <w:pPr>
        <w:pStyle w:val="ListParagraph"/>
        <w:numPr>
          <w:ilvl w:val="0"/>
          <w:numId w:val="9"/>
        </w:numPr>
        <w:ind w:left="360" w:firstLine="0"/>
        <w:jc w:val="both"/>
        <w:rPr>
          <w:b/>
          <w:bCs/>
          <w:u w:val="single"/>
        </w:rPr>
      </w:pPr>
      <w:r w:rsidRPr="004162A4">
        <w:rPr>
          <w:b/>
          <w:bCs/>
          <w:u w:val="single"/>
        </w:rPr>
        <w:t>Applicability</w:t>
      </w:r>
      <w:r w:rsidRPr="004162A4">
        <w:rPr>
          <w:b/>
          <w:bCs/>
        </w:rPr>
        <w:t>.</w:t>
      </w:r>
      <w:r>
        <w:t xml:space="preserve"> This requirement applies to contracts awarded by </w:t>
      </w:r>
      <w:bookmarkStart w:id="1" w:name="_Hlk116395493"/>
      <w:bookmarkStart w:id="2" w:name="_Hlk116312618"/>
      <w:r w:rsidR="00085686" w:rsidRPr="00A5423E">
        <w:rPr>
          <w:highlight w:val="yellow"/>
        </w:rPr>
        <w:t>[member organization]</w:t>
      </w:r>
      <w:bookmarkEnd w:id="1"/>
      <w:r w:rsidR="00085686">
        <w:t xml:space="preserve"> </w:t>
      </w:r>
      <w:bookmarkEnd w:id="2"/>
      <w:r>
        <w:t xml:space="preserve">of amounts </w:t>
      </w:r>
      <w:proofErr w:type="gramStart"/>
      <w:r>
        <w:t>in excess of</w:t>
      </w:r>
      <w:proofErr w:type="gramEnd"/>
      <w:r>
        <w:t xml:space="preserve"> $150,000 under a federal grant.</w:t>
      </w:r>
    </w:p>
    <w:p w14:paraId="528A67B5" w14:textId="77777777" w:rsidR="004162A4" w:rsidRPr="004162A4" w:rsidRDefault="004162A4" w:rsidP="004162A4">
      <w:pPr>
        <w:pStyle w:val="ListParagraph"/>
        <w:rPr>
          <w:b/>
          <w:bCs/>
          <w:u w:val="single"/>
        </w:rPr>
      </w:pPr>
    </w:p>
    <w:p w14:paraId="59A221BC" w14:textId="6B642A28" w:rsidR="00142973" w:rsidRDefault="008B7A15" w:rsidP="001345EB">
      <w:pPr>
        <w:pStyle w:val="ListParagraph"/>
        <w:keepNext/>
        <w:numPr>
          <w:ilvl w:val="0"/>
          <w:numId w:val="10"/>
        </w:numPr>
        <w:ind w:left="0" w:firstLine="0"/>
        <w:jc w:val="both"/>
      </w:pPr>
      <w:r w:rsidRPr="00BC09BC">
        <w:rPr>
          <w:b/>
          <w:bCs/>
          <w:u w:val="single"/>
        </w:rPr>
        <w:t xml:space="preserve">DEBARMENT </w:t>
      </w:r>
      <w:r w:rsidR="001C5720" w:rsidRPr="00BC09BC">
        <w:rPr>
          <w:b/>
          <w:bCs/>
          <w:u w:val="single"/>
        </w:rPr>
        <w:t>AND</w:t>
      </w:r>
      <w:r w:rsidRPr="00BC09BC">
        <w:rPr>
          <w:b/>
          <w:bCs/>
          <w:u w:val="single"/>
        </w:rPr>
        <w:t xml:space="preserve"> S</w:t>
      </w:r>
      <w:r w:rsidR="001C5720" w:rsidRPr="00BC09BC">
        <w:rPr>
          <w:b/>
          <w:bCs/>
          <w:u w:val="single"/>
        </w:rPr>
        <w:t>USPENSION</w:t>
      </w:r>
      <w:r w:rsidRPr="00BC09BC">
        <w:rPr>
          <w:b/>
          <w:bCs/>
          <w:u w:val="single"/>
        </w:rPr>
        <w:t xml:space="preserve"> (E</w:t>
      </w:r>
      <w:r w:rsidR="001C5720" w:rsidRPr="00BC09BC">
        <w:rPr>
          <w:b/>
          <w:bCs/>
          <w:u w:val="single"/>
        </w:rPr>
        <w:t>XECUTIVE</w:t>
      </w:r>
      <w:r w:rsidRPr="00BC09BC">
        <w:rPr>
          <w:b/>
          <w:bCs/>
          <w:u w:val="single"/>
        </w:rPr>
        <w:t xml:space="preserve"> O</w:t>
      </w:r>
      <w:r w:rsidR="001C5720" w:rsidRPr="00BC09BC">
        <w:rPr>
          <w:b/>
          <w:bCs/>
          <w:u w:val="single"/>
        </w:rPr>
        <w:t>RDERS</w:t>
      </w:r>
      <w:r w:rsidRPr="00BC09BC">
        <w:rPr>
          <w:b/>
          <w:bCs/>
          <w:u w:val="single"/>
        </w:rPr>
        <w:t xml:space="preserve"> 12549 </w:t>
      </w:r>
      <w:r w:rsidR="001C5720" w:rsidRPr="00BC09BC">
        <w:rPr>
          <w:b/>
          <w:bCs/>
          <w:u w:val="single"/>
        </w:rPr>
        <w:t>AND</w:t>
      </w:r>
      <w:r w:rsidRPr="00BC09BC">
        <w:rPr>
          <w:b/>
          <w:bCs/>
          <w:u w:val="single"/>
        </w:rPr>
        <w:t xml:space="preserve"> 12689)</w:t>
      </w:r>
      <w:r w:rsidR="001C5720" w:rsidRPr="00BC09BC">
        <w:rPr>
          <w:b/>
          <w:bCs/>
          <w:u w:val="single"/>
        </w:rPr>
        <w:t>.</w:t>
      </w:r>
      <w:r w:rsidR="001C5720">
        <w:t xml:space="preserve">  </w:t>
      </w:r>
    </w:p>
    <w:p w14:paraId="6842A388" w14:textId="77777777" w:rsidR="004162A4" w:rsidRDefault="004162A4" w:rsidP="001345EB">
      <w:pPr>
        <w:pStyle w:val="ListParagraph"/>
        <w:keepNext/>
        <w:ind w:left="0"/>
        <w:jc w:val="both"/>
      </w:pPr>
    </w:p>
    <w:p w14:paraId="784B1185" w14:textId="243D0C8E" w:rsidR="004162A4" w:rsidRDefault="004162A4" w:rsidP="001345EB">
      <w:pPr>
        <w:pStyle w:val="ListParagraph"/>
        <w:keepNext/>
        <w:numPr>
          <w:ilvl w:val="1"/>
          <w:numId w:val="10"/>
        </w:numPr>
        <w:ind w:left="360" w:firstLine="0"/>
        <w:jc w:val="both"/>
      </w:pPr>
      <w: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55176CB7" w14:textId="77777777" w:rsidR="00142973" w:rsidRDefault="00142973" w:rsidP="00142973">
      <w:pPr>
        <w:pStyle w:val="ListParagraph"/>
        <w:ind w:left="360"/>
        <w:jc w:val="both"/>
      </w:pPr>
    </w:p>
    <w:p w14:paraId="22DC42D7" w14:textId="66E335F0" w:rsidR="00142973" w:rsidRDefault="00142973" w:rsidP="00142973">
      <w:pPr>
        <w:pStyle w:val="ListParagraph"/>
        <w:numPr>
          <w:ilvl w:val="1"/>
          <w:numId w:val="10"/>
        </w:numPr>
        <w:ind w:left="360" w:firstLine="0"/>
      </w:pPr>
      <w:r w:rsidRPr="00142973">
        <w:t xml:space="preserve">The contractor must comply with 2 C.F.R. pt. 180, subpart C and2 C.F.R. pt. 3000, subpart C, and must include a requirement to comply with these regulations in any lower tier covered transaction it </w:t>
      </w:r>
      <w:proofErr w:type="gramStart"/>
      <w:r w:rsidRPr="00142973">
        <w:t>enters into</w:t>
      </w:r>
      <w:proofErr w:type="gramEnd"/>
      <w:r w:rsidRPr="00142973">
        <w:t>.</w:t>
      </w:r>
    </w:p>
    <w:p w14:paraId="50F892CD" w14:textId="77777777" w:rsidR="00142973" w:rsidRDefault="00142973" w:rsidP="00142973">
      <w:pPr>
        <w:pStyle w:val="ListParagraph"/>
      </w:pPr>
    </w:p>
    <w:p w14:paraId="02A7DBE5" w14:textId="7F4CA123" w:rsidR="00142973" w:rsidRDefault="00142973" w:rsidP="00142973">
      <w:pPr>
        <w:pStyle w:val="ListParagraph"/>
        <w:numPr>
          <w:ilvl w:val="1"/>
          <w:numId w:val="10"/>
        </w:numPr>
        <w:ind w:left="360" w:firstLine="0"/>
        <w:jc w:val="both"/>
      </w:pPr>
      <w:r>
        <w:t xml:space="preserve">This certification is a material representation of fact relied upon by </w:t>
      </w:r>
      <w:r w:rsidR="00F22965" w:rsidRPr="00F22965">
        <w:rPr>
          <w:highlight w:val="yellow"/>
        </w:rPr>
        <w:t>[member organization]</w:t>
      </w:r>
      <w:r>
        <w:t xml:space="preserve">. If it is later determined that the contractor did not comply with 2 C.F.R. pt. 180, subpart C and 2 C.F.R. pt. 3000, subpart C, in addition to remedies available to </w:t>
      </w:r>
      <w:r w:rsidR="00F22965" w:rsidRPr="00A5423E">
        <w:rPr>
          <w:highlight w:val="yellow"/>
        </w:rPr>
        <w:t>[member organization]</w:t>
      </w:r>
      <w:r>
        <w:t>, the Federal Government may pursue available remedies, including but not limited to suspension and/or debarment.</w:t>
      </w:r>
    </w:p>
    <w:p w14:paraId="3FBFE4E7" w14:textId="77777777" w:rsidR="00142973" w:rsidRPr="00142973" w:rsidRDefault="00142973" w:rsidP="00142973">
      <w:pPr>
        <w:pStyle w:val="ListParagraph"/>
        <w:ind w:left="360"/>
      </w:pPr>
    </w:p>
    <w:p w14:paraId="34146A7A" w14:textId="7ABB6FE3" w:rsidR="00BC09BC" w:rsidRDefault="00142973" w:rsidP="00BC09BC">
      <w:pPr>
        <w:pStyle w:val="ListParagraph"/>
        <w:numPr>
          <w:ilvl w:val="1"/>
          <w:numId w:val="10"/>
        </w:numPr>
        <w:ind w:left="360" w:firstLine="0"/>
        <w:jc w:val="both"/>
      </w:pPr>
      <w:r w:rsidRPr="00142973">
        <w:t>The bidder or proposer agrees to comply with the requirements of</w:t>
      </w:r>
      <w:r w:rsidR="00F124E4">
        <w:t xml:space="preserve"> </w:t>
      </w:r>
      <w:r w:rsidRPr="00142973">
        <w:t xml:space="preserve">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6750D36C" w14:textId="77777777" w:rsidR="00C64645" w:rsidRPr="00C64645" w:rsidRDefault="00C64645" w:rsidP="00C64645">
      <w:pPr>
        <w:pStyle w:val="ListParagraph"/>
        <w:rPr>
          <w:b/>
          <w:bCs/>
          <w:u w:val="single"/>
        </w:rPr>
      </w:pPr>
    </w:p>
    <w:p w14:paraId="206B215F" w14:textId="48EC0929" w:rsidR="00B42F5A" w:rsidRPr="00B42F5A" w:rsidRDefault="00452A4B" w:rsidP="004162A4">
      <w:pPr>
        <w:pStyle w:val="ListParagraph"/>
        <w:numPr>
          <w:ilvl w:val="0"/>
          <w:numId w:val="10"/>
        </w:numPr>
        <w:jc w:val="both"/>
        <w:rPr>
          <w:b/>
          <w:bCs/>
          <w:u w:val="single"/>
        </w:rPr>
      </w:pPr>
      <w:r w:rsidRPr="00452A4B">
        <w:rPr>
          <w:b/>
          <w:bCs/>
          <w:u w:val="single"/>
        </w:rPr>
        <w:t>P</w:t>
      </w:r>
      <w:r>
        <w:rPr>
          <w:b/>
          <w:bCs/>
          <w:u w:val="single"/>
        </w:rPr>
        <w:t>ROCUREMENT OF RECOVERED</w:t>
      </w:r>
      <w:r w:rsidRPr="00452A4B">
        <w:rPr>
          <w:b/>
          <w:bCs/>
          <w:u w:val="single"/>
        </w:rPr>
        <w:t xml:space="preserve"> </w:t>
      </w:r>
      <w:r>
        <w:rPr>
          <w:b/>
          <w:bCs/>
          <w:u w:val="single"/>
        </w:rPr>
        <w:t>MATERIALS</w:t>
      </w:r>
      <w:r w:rsidRPr="00452A4B">
        <w:rPr>
          <w:b/>
          <w:bCs/>
          <w:u w:val="single"/>
        </w:rPr>
        <w:t>.</w:t>
      </w:r>
      <w:r>
        <w:t xml:space="preserve">  </w:t>
      </w:r>
      <w:r w:rsidRPr="00452A4B">
        <w:t>Contractor and/or Subcontractor</w:t>
      </w:r>
      <w:r>
        <w:t xml:space="preserve"> agrees that it will </w:t>
      </w:r>
      <w:r w:rsidRPr="00452A4B">
        <w:t>comply with section 6002 of the Solid Waste Disposal Act, as amended by the Resource Conservation and Recovery Act</w:t>
      </w:r>
      <w:r>
        <w:t>, the requirements of which i</w:t>
      </w:r>
      <w:r w:rsidRPr="00452A4B">
        <w:t>nclude</w:t>
      </w:r>
      <w:r>
        <w:t xml:space="preserve">:  </w:t>
      </w:r>
    </w:p>
    <w:p w14:paraId="222846F5" w14:textId="77777777" w:rsidR="00B42F5A" w:rsidRPr="00B42F5A" w:rsidRDefault="00B42F5A" w:rsidP="00B42F5A">
      <w:pPr>
        <w:pStyle w:val="ListParagraph"/>
        <w:ind w:left="1080"/>
        <w:jc w:val="both"/>
        <w:rPr>
          <w:b/>
          <w:bCs/>
          <w:u w:val="single"/>
        </w:rPr>
      </w:pPr>
    </w:p>
    <w:p w14:paraId="65F2AC3F" w14:textId="0C484808" w:rsidR="00B42F5A" w:rsidRPr="00B42F5A" w:rsidRDefault="00452A4B" w:rsidP="00A208AE">
      <w:pPr>
        <w:pStyle w:val="ListParagraph"/>
        <w:numPr>
          <w:ilvl w:val="0"/>
          <w:numId w:val="13"/>
        </w:numPr>
        <w:ind w:left="360" w:firstLine="0"/>
        <w:jc w:val="both"/>
        <w:rPr>
          <w:b/>
          <w:bCs/>
          <w:u w:val="single"/>
        </w:rPr>
      </w:pPr>
      <w:r w:rsidRPr="00452A4B">
        <w:t xml:space="preserve">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w:t>
      </w:r>
    </w:p>
    <w:p w14:paraId="4A7A96F7" w14:textId="77777777" w:rsidR="00B42F5A" w:rsidRPr="00B42F5A" w:rsidRDefault="00B42F5A" w:rsidP="00A208AE">
      <w:pPr>
        <w:pStyle w:val="ListParagraph"/>
        <w:ind w:left="360"/>
        <w:jc w:val="both"/>
        <w:rPr>
          <w:b/>
          <w:bCs/>
          <w:u w:val="single"/>
        </w:rPr>
      </w:pPr>
    </w:p>
    <w:p w14:paraId="097D32C0" w14:textId="77777777" w:rsidR="00B42F5A" w:rsidRPr="00B42F5A" w:rsidRDefault="00452A4B" w:rsidP="00A208AE">
      <w:pPr>
        <w:pStyle w:val="ListParagraph"/>
        <w:numPr>
          <w:ilvl w:val="0"/>
          <w:numId w:val="13"/>
        </w:numPr>
        <w:ind w:left="360" w:firstLine="0"/>
        <w:jc w:val="both"/>
        <w:rPr>
          <w:b/>
          <w:bCs/>
          <w:u w:val="single"/>
        </w:rPr>
      </w:pPr>
      <w:r w:rsidRPr="00452A4B">
        <w:lastRenderedPageBreak/>
        <w:t xml:space="preserve">procuring solid waste management services in a manner that maximizes energy and resource recovery; and </w:t>
      </w:r>
    </w:p>
    <w:p w14:paraId="23109AD6" w14:textId="77777777" w:rsidR="00B42F5A" w:rsidRDefault="00B42F5A" w:rsidP="00A208AE">
      <w:pPr>
        <w:pStyle w:val="ListParagraph"/>
        <w:ind w:left="360"/>
      </w:pPr>
    </w:p>
    <w:p w14:paraId="27BBB664" w14:textId="4683FCDC" w:rsidR="00C64645" w:rsidRPr="00B42F5A" w:rsidRDefault="00452A4B" w:rsidP="00A208AE">
      <w:pPr>
        <w:pStyle w:val="ListParagraph"/>
        <w:numPr>
          <w:ilvl w:val="0"/>
          <w:numId w:val="13"/>
        </w:numPr>
        <w:ind w:left="360" w:firstLine="0"/>
        <w:jc w:val="both"/>
        <w:rPr>
          <w:b/>
          <w:bCs/>
          <w:u w:val="single"/>
        </w:rPr>
      </w:pPr>
      <w:r w:rsidRPr="00452A4B">
        <w:t>establishing an affirmative procurement program for procurement of recovered materials identified in the EPA guidelines.</w:t>
      </w:r>
    </w:p>
    <w:p w14:paraId="1911E411" w14:textId="77777777" w:rsidR="00B42F5A" w:rsidRPr="00B42F5A" w:rsidRDefault="00B42F5A" w:rsidP="00B42F5A">
      <w:pPr>
        <w:pStyle w:val="ListParagraph"/>
        <w:rPr>
          <w:b/>
          <w:bCs/>
          <w:u w:val="single"/>
        </w:rPr>
      </w:pPr>
    </w:p>
    <w:p w14:paraId="64D02F4E" w14:textId="3EA6BF71" w:rsidR="00F102AC" w:rsidRPr="00F102AC" w:rsidRDefault="00B42F5A" w:rsidP="004162A4">
      <w:pPr>
        <w:pStyle w:val="ListParagraph"/>
        <w:numPr>
          <w:ilvl w:val="0"/>
          <w:numId w:val="10"/>
        </w:numPr>
        <w:jc w:val="both"/>
        <w:rPr>
          <w:b/>
          <w:bCs/>
          <w:u w:val="single"/>
        </w:rPr>
      </w:pPr>
      <w:r w:rsidRPr="00F102AC">
        <w:rPr>
          <w:b/>
          <w:bCs/>
          <w:u w:val="single"/>
        </w:rPr>
        <w:t>P</w:t>
      </w:r>
      <w:r w:rsidR="009F270E" w:rsidRPr="00F102AC">
        <w:rPr>
          <w:b/>
          <w:bCs/>
          <w:u w:val="single"/>
        </w:rPr>
        <w:t>ROHIBITION ON</w:t>
      </w:r>
      <w:r w:rsidRPr="00F102AC">
        <w:rPr>
          <w:b/>
          <w:bCs/>
          <w:u w:val="single"/>
        </w:rPr>
        <w:t xml:space="preserve"> </w:t>
      </w:r>
      <w:r w:rsidR="009F270E" w:rsidRPr="00F102AC">
        <w:rPr>
          <w:b/>
          <w:bCs/>
          <w:u w:val="single"/>
        </w:rPr>
        <w:t>CERTAIN</w:t>
      </w:r>
      <w:r w:rsidRPr="00F102AC">
        <w:rPr>
          <w:b/>
          <w:bCs/>
          <w:u w:val="single"/>
        </w:rPr>
        <w:t xml:space="preserve"> </w:t>
      </w:r>
      <w:r w:rsidR="009F270E" w:rsidRPr="00F102AC">
        <w:rPr>
          <w:b/>
          <w:bCs/>
          <w:u w:val="single"/>
        </w:rPr>
        <w:t>TELECOMMUNICATIONS AND VIDEO</w:t>
      </w:r>
      <w:r w:rsidRPr="00F102AC">
        <w:rPr>
          <w:b/>
          <w:bCs/>
          <w:u w:val="single"/>
        </w:rPr>
        <w:t xml:space="preserve"> </w:t>
      </w:r>
      <w:r w:rsidR="009F270E" w:rsidRPr="00F102AC">
        <w:rPr>
          <w:b/>
          <w:bCs/>
          <w:u w:val="single"/>
        </w:rPr>
        <w:t>SURVEILLANCE SERVICES</w:t>
      </w:r>
      <w:r w:rsidRPr="00F102AC">
        <w:rPr>
          <w:b/>
          <w:bCs/>
          <w:u w:val="single"/>
        </w:rPr>
        <w:t xml:space="preserve"> </w:t>
      </w:r>
      <w:r w:rsidR="009F270E" w:rsidRPr="00F102AC">
        <w:rPr>
          <w:b/>
          <w:bCs/>
          <w:u w:val="single"/>
        </w:rPr>
        <w:t>OR</w:t>
      </w:r>
      <w:r w:rsidRPr="00F102AC">
        <w:rPr>
          <w:b/>
          <w:bCs/>
          <w:u w:val="single"/>
        </w:rPr>
        <w:t xml:space="preserve"> </w:t>
      </w:r>
      <w:r w:rsidR="009F270E" w:rsidRPr="00F102AC">
        <w:rPr>
          <w:b/>
          <w:bCs/>
          <w:u w:val="single"/>
        </w:rPr>
        <w:t>EQUIPMENT</w:t>
      </w:r>
      <w:r w:rsidRPr="00F102AC">
        <w:rPr>
          <w:b/>
          <w:bCs/>
          <w:u w:val="single"/>
        </w:rPr>
        <w:t>.</w:t>
      </w:r>
      <w:r w:rsidR="009F270E">
        <w:t xml:space="preserve">  </w:t>
      </w:r>
      <w:r w:rsidR="009F270E" w:rsidRPr="009F270E">
        <w:t>Contractor and/or Subcontractor</w:t>
      </w:r>
      <w:r w:rsidR="009F270E">
        <w:t xml:space="preserve"> </w:t>
      </w:r>
      <w:r w:rsidR="00F102AC">
        <w:t>agrees and acknowledges that it is</w:t>
      </w:r>
      <w:r w:rsidR="009F270E" w:rsidRPr="009F270E">
        <w:t xml:space="preserve"> prohibited from obligating or expending loan or grant funds to:</w:t>
      </w:r>
      <w:r w:rsidR="009F270E">
        <w:t xml:space="preserve"> </w:t>
      </w:r>
    </w:p>
    <w:p w14:paraId="1E0B375B" w14:textId="77777777" w:rsidR="00F102AC" w:rsidRPr="00F102AC" w:rsidRDefault="00F102AC" w:rsidP="00F102AC">
      <w:pPr>
        <w:pStyle w:val="ListParagraph"/>
        <w:ind w:left="1080"/>
        <w:jc w:val="both"/>
        <w:rPr>
          <w:b/>
          <w:bCs/>
          <w:u w:val="single"/>
        </w:rPr>
      </w:pPr>
    </w:p>
    <w:p w14:paraId="00B165CA" w14:textId="2F690D82" w:rsidR="00F102AC" w:rsidRPr="00F102AC" w:rsidRDefault="00F102AC" w:rsidP="00DC7F09">
      <w:pPr>
        <w:pStyle w:val="ListParagraph"/>
        <w:numPr>
          <w:ilvl w:val="1"/>
          <w:numId w:val="13"/>
        </w:numPr>
        <w:ind w:left="1080"/>
        <w:jc w:val="both"/>
        <w:rPr>
          <w:b/>
          <w:bCs/>
          <w:u w:val="single"/>
        </w:rPr>
      </w:pPr>
      <w:r>
        <w:t xml:space="preserve">procure or obtain; </w:t>
      </w:r>
    </w:p>
    <w:p w14:paraId="3BE28679" w14:textId="77777777" w:rsidR="00F102AC" w:rsidRPr="00F102AC" w:rsidRDefault="00F102AC" w:rsidP="00DC7F09">
      <w:pPr>
        <w:pStyle w:val="ListParagraph"/>
        <w:numPr>
          <w:ilvl w:val="1"/>
          <w:numId w:val="13"/>
        </w:numPr>
        <w:ind w:left="1080"/>
        <w:jc w:val="both"/>
        <w:rPr>
          <w:b/>
          <w:bCs/>
          <w:u w:val="single"/>
        </w:rPr>
      </w:pPr>
      <w:r>
        <w:t xml:space="preserve">extend or renew a contract to procure or obtain; or </w:t>
      </w:r>
    </w:p>
    <w:p w14:paraId="13601554" w14:textId="77777777" w:rsidR="00033610" w:rsidRDefault="00F102AC" w:rsidP="00DC7F09">
      <w:pPr>
        <w:pStyle w:val="ListParagraph"/>
        <w:numPr>
          <w:ilvl w:val="1"/>
          <w:numId w:val="13"/>
        </w:numPr>
        <w:ind w:left="1080"/>
        <w:jc w:val="both"/>
      </w:pPr>
      <w:proofErr w:type="gramStart"/>
      <w:r>
        <w:t>enter into</w:t>
      </w:r>
      <w:proofErr w:type="gramEnd"/>
      <w:r>
        <w:t xml:space="preserve"> a contract (or extend or renew a contract) to procure or obtain</w:t>
      </w:r>
      <w:r w:rsidR="00DC7F09">
        <w:t xml:space="preserve"> </w:t>
      </w:r>
      <w:r w:rsidR="0093001D">
        <w:t xml:space="preserve">equipment, services, or systems that uses covered telecommunications equipment or services as a substantial or essential component of any system, or as critical technology as part of any system.  </w:t>
      </w:r>
      <w:r w:rsidR="00033610">
        <w:t xml:space="preserve">As described in Public Law 115–232, section 889, “covered telecommunications equipment” is telecommunications equipment produced by Huawei Technologies Company,  ZTE Corporation, </w:t>
      </w:r>
      <w:r w:rsidR="00033610" w:rsidRPr="00FA69E6">
        <w:t>Hytera Communications Corporation, Hangzhou Hikvision Digital Technology Company, or Dahua Technology Company</w:t>
      </w:r>
      <w:r w:rsidR="00033610">
        <w:t xml:space="preserve"> (or any subsidiary or affiliate of such entities). </w:t>
      </w:r>
    </w:p>
    <w:p w14:paraId="138E68A1" w14:textId="77777777" w:rsidR="00033610" w:rsidRDefault="00033610" w:rsidP="00033610">
      <w:pPr>
        <w:pStyle w:val="ListParagraph"/>
        <w:ind w:left="1627"/>
        <w:jc w:val="both"/>
      </w:pPr>
    </w:p>
    <w:p w14:paraId="123068A2" w14:textId="684DB3A3" w:rsidR="0093001D" w:rsidRDefault="0093001D" w:rsidP="00DC7F09">
      <w:pPr>
        <w:pStyle w:val="ListParagraph"/>
        <w:ind w:left="360"/>
        <w:jc w:val="both"/>
      </w:pPr>
      <w:r>
        <w:t xml:space="preserve">The prohibition in this </w:t>
      </w:r>
      <w:r w:rsidR="0090043F">
        <w:t>section</w:t>
      </w:r>
      <w:r>
        <w:t xml:space="preserve"> includes (a) telecommunications or video surveillance services provided by such entities listed above or using such equipment; and (b)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57433DEE" w14:textId="77777777" w:rsidR="0093001D" w:rsidRDefault="0093001D" w:rsidP="0093001D">
      <w:pPr>
        <w:pStyle w:val="ListParagraph"/>
        <w:ind w:left="1080"/>
        <w:jc w:val="both"/>
      </w:pPr>
    </w:p>
    <w:p w14:paraId="662AD86E" w14:textId="4B9DA92D" w:rsidR="0093001D" w:rsidRPr="001C1593" w:rsidRDefault="0090043F" w:rsidP="004162A4">
      <w:pPr>
        <w:pStyle w:val="ListParagraph"/>
        <w:numPr>
          <w:ilvl w:val="0"/>
          <w:numId w:val="10"/>
        </w:numPr>
        <w:jc w:val="both"/>
        <w:rPr>
          <w:b/>
          <w:bCs/>
          <w:u w:val="single"/>
        </w:rPr>
      </w:pPr>
      <w:r w:rsidRPr="0090043F">
        <w:rPr>
          <w:b/>
          <w:bCs/>
          <w:u w:val="single"/>
        </w:rPr>
        <w:t>DOMESTIC PREFERENCES FOR PROCUREMENTS.</w:t>
      </w:r>
      <w:r>
        <w:t xml:space="preserve">  </w:t>
      </w:r>
      <w:r w:rsidRPr="0090043F">
        <w:t xml:space="preserve">Contractor agrees, to the greatest extent practicable under </w:t>
      </w:r>
      <w:r>
        <w:t>this Contract</w:t>
      </w:r>
      <w:r w:rsidRPr="0090043F">
        <w:t>, provide a preference for the purchase, acquisition, or use of goods, products, or materials produced in the United States (including but not limited to iron, aluminum, steel, cement, and other manufactured products).</w:t>
      </w:r>
      <w:r>
        <w:t xml:space="preserve"> </w:t>
      </w:r>
      <w:r w:rsidRPr="0090043F">
        <w:t xml:space="preserve">Contractor and/or Subcontractor </w:t>
      </w:r>
      <w:r>
        <w:t xml:space="preserve">further </w:t>
      </w:r>
      <w:r w:rsidRPr="0090043F">
        <w:t>agrees</w:t>
      </w:r>
      <w:r>
        <w:t xml:space="preserve"> that t</w:t>
      </w:r>
      <w:r w:rsidRPr="0090043F">
        <w:t xml:space="preserve">he requirements of this </w:t>
      </w:r>
      <w:r>
        <w:t>sub</w:t>
      </w:r>
      <w:r w:rsidRPr="0090043F">
        <w:t xml:space="preserve">section must be included in all subawards including all contracts and purchase orders for work or products under this award. </w:t>
      </w:r>
      <w:r>
        <w:t xml:space="preserve"> For purposes of this subsection:  (1) “produced in the United States” means, for iron and steel products, that all manufacturing processes, from the initial melting stage through the application of coatings, occurred in the United States; and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4CC807E7" w14:textId="77777777" w:rsidR="001C1593" w:rsidRPr="001C1593" w:rsidRDefault="001C1593" w:rsidP="001C1593">
      <w:pPr>
        <w:pStyle w:val="ListParagraph"/>
        <w:ind w:left="1080"/>
        <w:jc w:val="both"/>
        <w:rPr>
          <w:b/>
          <w:bCs/>
          <w:u w:val="single"/>
        </w:rPr>
      </w:pPr>
    </w:p>
    <w:p w14:paraId="72CB500E" w14:textId="03B65B2B" w:rsidR="001C1593" w:rsidRDefault="001C1593" w:rsidP="004162A4">
      <w:pPr>
        <w:pStyle w:val="ListParagraph"/>
        <w:numPr>
          <w:ilvl w:val="0"/>
          <w:numId w:val="10"/>
        </w:numPr>
        <w:jc w:val="both"/>
      </w:pPr>
      <w:r w:rsidRPr="001C1593">
        <w:rPr>
          <w:b/>
          <w:bCs/>
          <w:u w:val="single"/>
        </w:rPr>
        <w:t>MISSISSIPPI EMPLOYMENT PROTECTION ACT.</w:t>
      </w:r>
      <w:r w:rsidRPr="001C1593">
        <w:t xml:space="preserve"> Contractor represent</w:t>
      </w:r>
      <w:r w:rsidR="00D610A2">
        <w:t>s</w:t>
      </w:r>
      <w:r w:rsidRPr="001C1593">
        <w:t xml:space="preserve"> and warrant</w:t>
      </w:r>
      <w:r w:rsidR="00D610A2">
        <w:t>s</w:t>
      </w:r>
      <w:r w:rsidRPr="001C1593">
        <w:t xml:space="preserve"> that it will ensure its compliance with the Mississippi Employment Protection Act (Senate Bill 2988 from the 2008 Regular Legislative Session, codified as Miss. Code Ann. </w:t>
      </w:r>
      <w:r w:rsidR="00843FCC" w:rsidRPr="00843FCC">
        <w:t>§</w:t>
      </w:r>
      <w:r w:rsidRPr="001C1593">
        <w:t xml:space="preserve"> 71-11-1, </w:t>
      </w:r>
      <w:r w:rsidRPr="00843FCC">
        <w:rPr>
          <w:i/>
          <w:iCs/>
        </w:rPr>
        <w:t>et seq</w:t>
      </w:r>
      <w:r w:rsidRPr="001C1593">
        <w:t xml:space="preserve">.) and will register and participate in the status verification system for all newly hired employees. The term “employee” as used herein means any person that is hired to perform work within the State of Mississippi. As used </w:t>
      </w:r>
      <w:r w:rsidRPr="001C1593">
        <w:lastRenderedPageBreak/>
        <w:t xml:space="preserve">herein, “status verification system” means the Illegal Immigration Reform and Immigration Responsibility Act of 1996 that is operated by the United States Department of Homeland Security, also known as the </w:t>
      </w:r>
      <w:proofErr w:type="spellStart"/>
      <w:r w:rsidRPr="001C1593">
        <w:t>E-verify</w:t>
      </w:r>
      <w:proofErr w:type="spellEnd"/>
      <w:r w:rsidRPr="001C1593">
        <w:t xml:space="preserve"> Program, or any other successor electronic verification system replacing the </w:t>
      </w:r>
      <w:proofErr w:type="spellStart"/>
      <w:r w:rsidRPr="001C1593">
        <w:t>E-verify</w:t>
      </w:r>
      <w:proofErr w:type="spellEnd"/>
      <w:r w:rsidRPr="001C1593">
        <w:t xml:space="preserve"> Program. Contractor agree</w:t>
      </w:r>
      <w:r w:rsidR="00D610A2">
        <w:t>s</w:t>
      </w:r>
      <w:r w:rsidRPr="001C1593">
        <w:t xml:space="preserve"> to maintain records of such compliance and, upon request of the State, to provide a copy of each such verification to the State. Subrecipient and </w:t>
      </w:r>
      <w:r w:rsidR="00D610A2">
        <w:t>c</w:t>
      </w:r>
      <w:r w:rsidRPr="001C1593">
        <w:t>ontractor further represent and warrant that any person assigned to perform services hereunder meets the employment eligibility requirements of all immigration laws of the State of Mississippi. Contractor understand</w:t>
      </w:r>
      <w:r w:rsidR="00D610A2">
        <w:t>s</w:t>
      </w:r>
      <w:r w:rsidRPr="001C1593">
        <w:t xml:space="preserve"> and agree</w:t>
      </w:r>
      <w:r w:rsidR="00D610A2">
        <w:t>s</w:t>
      </w:r>
      <w:r w:rsidRPr="001C1593">
        <w:t xml:space="preserve"> that any breach of these warranties may subject </w:t>
      </w:r>
      <w:r w:rsidR="00D610A2">
        <w:t>c</w:t>
      </w:r>
      <w:r w:rsidRPr="001C1593">
        <w:t xml:space="preserve">ontractor to the following: (a) termination of this Contract and ineligibility for any state or public contract in Mississippi for up to 3 years, with notice of such cancellation/termination being made public, or (b) the loss of any license, permit, certification or other document granted to </w:t>
      </w:r>
      <w:r w:rsidR="00D610A2">
        <w:t>c</w:t>
      </w:r>
      <w:r w:rsidRPr="001C1593">
        <w:t xml:space="preserve">ontractor by an agency, department or government entity for the right to do business in Mississippi for up to 1 year, or (c) both. In the event of such cancellation/termination, </w:t>
      </w:r>
      <w:r w:rsidR="00D610A2">
        <w:t>c</w:t>
      </w:r>
      <w:r w:rsidRPr="001C1593">
        <w:t>ontractor would also be liable for any additional costs incurred by the State due to Contract cancellation or loss of license or permit.</w:t>
      </w:r>
      <w:bookmarkStart w:id="3" w:name="_Hlk99635547"/>
    </w:p>
    <w:p w14:paraId="014C2A3F" w14:textId="77777777" w:rsidR="001C1593" w:rsidRDefault="001C1593" w:rsidP="001C1593">
      <w:pPr>
        <w:pStyle w:val="ListParagraph"/>
        <w:ind w:left="1080"/>
        <w:jc w:val="both"/>
      </w:pPr>
    </w:p>
    <w:p w14:paraId="7EB82071" w14:textId="44448AD1" w:rsidR="00FB5493" w:rsidRDefault="00FB5493" w:rsidP="004162A4">
      <w:pPr>
        <w:pStyle w:val="ListParagraph"/>
        <w:numPr>
          <w:ilvl w:val="0"/>
          <w:numId w:val="10"/>
        </w:numPr>
        <w:jc w:val="both"/>
      </w:pPr>
      <w:bookmarkStart w:id="4" w:name="_Hlk99635534"/>
      <w:bookmarkEnd w:id="3"/>
      <w:r w:rsidRPr="00FB5493">
        <w:rPr>
          <w:b/>
          <w:bCs/>
          <w:u w:val="single"/>
        </w:rPr>
        <w:t>RECORDS.</w:t>
      </w:r>
      <w:r w:rsidRPr="00503E91">
        <w:t xml:space="preserve">  Financial records, supporting documents, statistical records, and all other Contractor and/or Subcontractor records pertinent to </w:t>
      </w:r>
      <w:r>
        <w:t>this Contract</w:t>
      </w:r>
      <w:r w:rsidRPr="00503E91">
        <w:t xml:space="preserve"> must be retained for a period of three years from the date of submission of the final expenditure report</w:t>
      </w:r>
      <w:r>
        <w:t xml:space="preserve"> by the </w:t>
      </w:r>
      <w:r w:rsidR="00F124E4" w:rsidRPr="00A5423E">
        <w:rPr>
          <w:highlight w:val="yellow"/>
        </w:rPr>
        <w:t>[member organization]</w:t>
      </w:r>
      <w:r>
        <w:t xml:space="preserve"> to the U.S. Department of Treasury.  The only exceptions to the requirements listed above in this subsection are contained in </w:t>
      </w:r>
      <w:r w:rsidRPr="00AE5924">
        <w:t>2 C.F.R. § 200.334</w:t>
      </w:r>
      <w:r>
        <w:t xml:space="preserve">.  All </w:t>
      </w:r>
      <w:r w:rsidRPr="004F6312">
        <w:t>financial information and data</w:t>
      </w:r>
      <w:r>
        <w:t xml:space="preserve"> relevant to this Contract or any work performed thereto shall be compiled and maintained </w:t>
      </w:r>
      <w:r w:rsidRPr="00B51502">
        <w:t xml:space="preserve">in accordance </w:t>
      </w:r>
      <w:r w:rsidRPr="004F6312">
        <w:t xml:space="preserve">generally accepted accounting principles and practices consistently applied in effect on the date of execution of this </w:t>
      </w:r>
      <w:r>
        <w:t>Contract or any subcontract thereunder</w:t>
      </w:r>
      <w:r w:rsidRPr="004F6312">
        <w:t xml:space="preserve">. The Contractor </w:t>
      </w:r>
      <w:r w:rsidRPr="00503E91">
        <w:t xml:space="preserve">and/or Subcontractor </w:t>
      </w:r>
      <w:r w:rsidRPr="004F6312">
        <w:t xml:space="preserve">shall also maintain the financial information and data used in the preparation or support of </w:t>
      </w:r>
      <w:r>
        <w:t>any</w:t>
      </w:r>
      <w:r w:rsidRPr="004F6312">
        <w:t xml:space="preserve"> cost submission for any negotiated sub</w:t>
      </w:r>
      <w:r>
        <w:t>contract o</w:t>
      </w:r>
      <w:r w:rsidRPr="004F6312">
        <w:t xml:space="preserve">r change order and a copy of the cost summary submitted to the </w:t>
      </w:r>
      <w:r w:rsidR="00F124E4" w:rsidRPr="00A5423E">
        <w:rPr>
          <w:highlight w:val="yellow"/>
        </w:rPr>
        <w:t>[member organization]</w:t>
      </w:r>
      <w:r>
        <w:t>.</w:t>
      </w:r>
    </w:p>
    <w:p w14:paraId="7606A621" w14:textId="77777777" w:rsidR="00FB5493" w:rsidRDefault="00FB5493" w:rsidP="00FB5493">
      <w:pPr>
        <w:pStyle w:val="ListParagraph"/>
        <w:ind w:left="1080"/>
        <w:jc w:val="both"/>
      </w:pPr>
    </w:p>
    <w:p w14:paraId="7BAEEA2E" w14:textId="77777777" w:rsidR="00A5423E" w:rsidRDefault="00D51A4F" w:rsidP="004162A4">
      <w:pPr>
        <w:pStyle w:val="ListParagraph"/>
        <w:numPr>
          <w:ilvl w:val="0"/>
          <w:numId w:val="10"/>
        </w:numPr>
        <w:jc w:val="both"/>
      </w:pPr>
      <w:r w:rsidRPr="00AE5924">
        <w:rPr>
          <w:b/>
          <w:bCs/>
          <w:u w:val="single"/>
        </w:rPr>
        <w:t>ACCE</w:t>
      </w:r>
      <w:bookmarkEnd w:id="4"/>
      <w:r w:rsidRPr="00AE5924">
        <w:rPr>
          <w:b/>
          <w:bCs/>
          <w:u w:val="single"/>
        </w:rPr>
        <w:t>SS TO RECORDS.</w:t>
      </w:r>
      <w:r>
        <w:t xml:space="preserve">  </w:t>
      </w:r>
    </w:p>
    <w:p w14:paraId="005AED5C" w14:textId="77777777" w:rsidR="00A5423E" w:rsidRDefault="00A5423E" w:rsidP="00A5423E">
      <w:pPr>
        <w:pStyle w:val="ListParagraph"/>
      </w:pPr>
    </w:p>
    <w:p w14:paraId="516E2479" w14:textId="5D989FA0" w:rsidR="00D51A4F" w:rsidRDefault="00D51A4F" w:rsidP="00A5423E">
      <w:pPr>
        <w:pStyle w:val="ListParagraph"/>
        <w:numPr>
          <w:ilvl w:val="1"/>
          <w:numId w:val="10"/>
        </w:numPr>
        <w:ind w:left="360" w:firstLine="0"/>
        <w:jc w:val="both"/>
      </w:pPr>
      <w:r w:rsidRPr="00D51A4F">
        <w:t xml:space="preserve">Contractor and/or Subcontractor agrees to allow the </w:t>
      </w:r>
      <w:r w:rsidR="00F124E4" w:rsidRPr="00A5423E">
        <w:rPr>
          <w:highlight w:val="yellow"/>
        </w:rPr>
        <w:t>[member organization]</w:t>
      </w:r>
      <w:r w:rsidRPr="00D51A4F">
        <w:t xml:space="preserve">, </w:t>
      </w:r>
      <w:r>
        <w:t>the U.S. Department of Treasury</w:t>
      </w:r>
      <w:r w:rsidRPr="00D51A4F">
        <w:t>, the Comptroller General of the United States, and any of their duly authorized representatives access to any books, documents, papers, and records of the Contractor and/or Subcontractor which are directly pertinent to the</w:t>
      </w:r>
      <w:r w:rsidR="00503E91">
        <w:t xml:space="preserve"> </w:t>
      </w:r>
      <w:r w:rsidR="00AE5924">
        <w:t xml:space="preserve">Contract or the </w:t>
      </w:r>
      <w:r w:rsidR="00503E91">
        <w:t>Coronavirus State Fiscal</w:t>
      </w:r>
      <w:r w:rsidR="00AE5924">
        <w:t xml:space="preserve"> </w:t>
      </w:r>
      <w:r w:rsidR="00503E91">
        <w:t xml:space="preserve">Recovery Fund and the Coronavirus </w:t>
      </w:r>
      <w:r w:rsidR="00A5423E">
        <w:t xml:space="preserve">State and </w:t>
      </w:r>
      <w:r w:rsidR="00503E91">
        <w:t>Local Fiscal Recovery Fund established under the American Rescue Plan Act</w:t>
      </w:r>
      <w:r w:rsidR="00503E91" w:rsidRPr="00D51A4F">
        <w:t xml:space="preserve"> </w:t>
      </w:r>
      <w:r w:rsidRPr="00D51A4F">
        <w:t>for the purpose of making audits, examinations, excerpts, and transcriptions.</w:t>
      </w:r>
      <w:r w:rsidR="00503E91">
        <w:t xml:space="preserve">  </w:t>
      </w:r>
      <w:r w:rsidR="00503E91" w:rsidRPr="00503E91">
        <w:t xml:space="preserve">The rights of access in this </w:t>
      </w:r>
      <w:r w:rsidR="00503E91">
        <w:t>sub</w:t>
      </w:r>
      <w:r w:rsidR="00503E91" w:rsidRPr="00503E91">
        <w:t xml:space="preserve">section are not limited to the required retention period but last </w:t>
      </w:r>
      <w:proofErr w:type="gramStart"/>
      <w:r w:rsidR="00503E91" w:rsidRPr="00503E91">
        <w:t>as long as</w:t>
      </w:r>
      <w:proofErr w:type="gramEnd"/>
      <w:r w:rsidR="00503E91" w:rsidRPr="00503E91">
        <w:t xml:space="preserve"> the records are retained.</w:t>
      </w:r>
    </w:p>
    <w:p w14:paraId="0C8BB48E" w14:textId="77777777" w:rsidR="00A5423E" w:rsidRDefault="00A5423E" w:rsidP="00A5423E">
      <w:pPr>
        <w:pStyle w:val="ListParagraph"/>
        <w:ind w:left="360"/>
        <w:jc w:val="both"/>
      </w:pPr>
    </w:p>
    <w:p w14:paraId="0EFD9EEE" w14:textId="78EBAC2B" w:rsidR="00A5423E" w:rsidRDefault="00A5423E" w:rsidP="00A5423E">
      <w:pPr>
        <w:pStyle w:val="ListParagraph"/>
        <w:numPr>
          <w:ilvl w:val="1"/>
          <w:numId w:val="10"/>
        </w:numPr>
        <w:ind w:left="360" w:firstLine="0"/>
        <w:jc w:val="both"/>
      </w:pPr>
      <w:r>
        <w:t>The Contractor agrees to permit any of the foregoing parties to reproduce by any means whatsoever or to copy excerpts and transcriptions as reasonably needed.</w:t>
      </w:r>
    </w:p>
    <w:p w14:paraId="1425CAB7" w14:textId="77777777" w:rsidR="00A5423E" w:rsidRDefault="00A5423E" w:rsidP="00A5423E">
      <w:pPr>
        <w:pStyle w:val="ListParagraph"/>
        <w:ind w:left="360"/>
      </w:pPr>
    </w:p>
    <w:p w14:paraId="0438DA92" w14:textId="179F582B" w:rsidR="00A5423E" w:rsidRDefault="00A5423E" w:rsidP="00A5423E">
      <w:pPr>
        <w:pStyle w:val="ListParagraph"/>
        <w:numPr>
          <w:ilvl w:val="1"/>
          <w:numId w:val="10"/>
        </w:numPr>
        <w:ind w:left="360" w:firstLine="0"/>
        <w:jc w:val="both"/>
      </w:pPr>
      <w:r w:rsidRPr="00A5423E">
        <w:t xml:space="preserve">The Contractor agrees to provide the </w:t>
      </w:r>
      <w:r w:rsidR="0004070C">
        <w:t>Secretary of the Treasury</w:t>
      </w:r>
      <w:r w:rsidRPr="00A5423E">
        <w:t xml:space="preserve"> or</w:t>
      </w:r>
      <w:r>
        <w:t xml:space="preserve"> his authorized representatives access to construction or other work sites pertaining to the work being completed under the contract.</w:t>
      </w:r>
    </w:p>
    <w:p w14:paraId="1119E6E9" w14:textId="77777777" w:rsidR="00A5423E" w:rsidRDefault="00A5423E" w:rsidP="00A5423E">
      <w:pPr>
        <w:pStyle w:val="ListParagraph"/>
        <w:ind w:left="360"/>
      </w:pPr>
    </w:p>
    <w:p w14:paraId="5421006B" w14:textId="315879C3" w:rsidR="00A5423E" w:rsidRDefault="00A5423E" w:rsidP="00A5423E">
      <w:pPr>
        <w:pStyle w:val="ListParagraph"/>
        <w:numPr>
          <w:ilvl w:val="1"/>
          <w:numId w:val="10"/>
        </w:numPr>
        <w:ind w:left="360" w:firstLine="0"/>
        <w:jc w:val="both"/>
      </w:pPr>
      <w:r>
        <w:lastRenderedPageBreak/>
        <w:t xml:space="preserve">In compliance with the Disaster Recovery Act of 2018, the </w:t>
      </w:r>
      <w:bookmarkStart w:id="5" w:name="_Hlk116302804"/>
      <w:r w:rsidRPr="00A5423E">
        <w:rPr>
          <w:highlight w:val="yellow"/>
        </w:rPr>
        <w:t>[member organization]</w:t>
      </w:r>
      <w:bookmarkEnd w:id="5"/>
      <w:r>
        <w:t xml:space="preserve"> and the Contractor acknowledge and agree that no language in this contract is intended to prohibit audits or internal reviews by the U.S. Department of Treasury or the Comptroller General of the United States.</w:t>
      </w:r>
    </w:p>
    <w:p w14:paraId="75ED9B38" w14:textId="77777777" w:rsidR="00503E91" w:rsidRDefault="00503E91" w:rsidP="00503E91">
      <w:pPr>
        <w:pStyle w:val="ListParagraph"/>
        <w:ind w:left="1080"/>
        <w:jc w:val="both"/>
      </w:pPr>
    </w:p>
    <w:p w14:paraId="6D3EC122" w14:textId="7D8A7F79" w:rsidR="00B356C0" w:rsidRDefault="00B356C0" w:rsidP="004162A4">
      <w:pPr>
        <w:pStyle w:val="ListParagraph"/>
        <w:numPr>
          <w:ilvl w:val="0"/>
          <w:numId w:val="10"/>
        </w:numPr>
        <w:jc w:val="both"/>
      </w:pPr>
      <w:r w:rsidRPr="001A3E59">
        <w:rPr>
          <w:b/>
          <w:bCs/>
          <w:u w:val="single"/>
        </w:rPr>
        <w:t>PUBLICATIONS.</w:t>
      </w:r>
      <w:r>
        <w:t xml:space="preserve"> Any publications produced with funds from this award must display the</w:t>
      </w:r>
      <w:r w:rsidR="001A3E59">
        <w:t xml:space="preserve"> </w:t>
      </w:r>
      <w:r>
        <w:t>following language: “This project [</w:t>
      </w:r>
      <w:r w:rsidRPr="00F20DDF">
        <w:rPr>
          <w:i/>
          <w:iCs/>
        </w:rPr>
        <w:t>is being</w:t>
      </w:r>
      <w:r>
        <w:t>] [</w:t>
      </w:r>
      <w:r w:rsidRPr="00F20DDF">
        <w:rPr>
          <w:i/>
          <w:iCs/>
        </w:rPr>
        <w:t>was</w:t>
      </w:r>
      <w:r>
        <w:t>] supported, in whole or in part, by federal</w:t>
      </w:r>
      <w:r w:rsidR="001A3E59">
        <w:t xml:space="preserve"> </w:t>
      </w:r>
      <w:r>
        <w:t>award number [</w:t>
      </w:r>
      <w:r w:rsidRPr="00F20DDF">
        <w:rPr>
          <w:i/>
          <w:iCs/>
        </w:rPr>
        <w:t>enter project FAIN</w:t>
      </w:r>
      <w:r>
        <w:t>] awarded to [</w:t>
      </w:r>
      <w:r w:rsidRPr="00F20DDF">
        <w:rPr>
          <w:i/>
          <w:iCs/>
        </w:rPr>
        <w:t>name of Recipient</w:t>
      </w:r>
      <w:r>
        <w:t>] by the U.S. Department</w:t>
      </w:r>
      <w:r w:rsidR="001A3E59">
        <w:t xml:space="preserve"> </w:t>
      </w:r>
      <w:r>
        <w:t>of the Treasury.”</w:t>
      </w:r>
    </w:p>
    <w:p w14:paraId="66002FF7" w14:textId="77777777" w:rsidR="00B356C0" w:rsidRDefault="00B356C0" w:rsidP="00B356C0">
      <w:pPr>
        <w:pStyle w:val="ListParagraph"/>
        <w:ind w:left="1080"/>
        <w:jc w:val="both"/>
      </w:pPr>
    </w:p>
    <w:p w14:paraId="7C23D6A0" w14:textId="503D3501" w:rsidR="00B356C0" w:rsidRDefault="00B356C0" w:rsidP="004162A4">
      <w:pPr>
        <w:pStyle w:val="ListParagraph"/>
        <w:numPr>
          <w:ilvl w:val="0"/>
          <w:numId w:val="10"/>
        </w:numPr>
        <w:jc w:val="both"/>
      </w:pPr>
      <w:r w:rsidRPr="00B356C0">
        <w:rPr>
          <w:b/>
          <w:bCs/>
          <w:u w:val="single"/>
        </w:rPr>
        <w:t>INCREASING SEAT BELT USE IN THE UNITED STATES</w:t>
      </w:r>
      <w:r>
        <w:rPr>
          <w:b/>
          <w:bCs/>
          <w:u w:val="single"/>
        </w:rPr>
        <w:t>.</w:t>
      </w:r>
      <w:r>
        <w:t xml:space="preserve"> Pursuant to Executive Order 13043, 62 FR 19217 (Apr. 18, 1997), Contractor is encouraged to adopt and enforce on-the-job seat belt policies and programs for your employees when operating company-owned, rented or personally owned vehicles.</w:t>
      </w:r>
    </w:p>
    <w:p w14:paraId="571850AD" w14:textId="77777777" w:rsidR="00B356C0" w:rsidRDefault="00B356C0" w:rsidP="00B356C0">
      <w:pPr>
        <w:pStyle w:val="ListParagraph"/>
        <w:ind w:left="1080"/>
        <w:jc w:val="both"/>
      </w:pPr>
    </w:p>
    <w:p w14:paraId="6ED4DBFE" w14:textId="346D76FF" w:rsidR="00B356C0" w:rsidRDefault="00B356C0" w:rsidP="004162A4">
      <w:pPr>
        <w:pStyle w:val="ListParagraph"/>
        <w:numPr>
          <w:ilvl w:val="0"/>
          <w:numId w:val="10"/>
        </w:numPr>
        <w:jc w:val="both"/>
      </w:pPr>
      <w:r w:rsidRPr="005C34F9">
        <w:rPr>
          <w:b/>
          <w:bCs/>
          <w:u w:val="single"/>
        </w:rPr>
        <w:t>REDUCING TEXT MESSAGING WHILE DRIVING.</w:t>
      </w:r>
      <w:r>
        <w:t xml:space="preserve"> Pursuant to Executive Order 13513, 74 FR 51225 (Oct. 6, 2009), Contractor is encouraged to adopt and enforce policies that ban text messaging while driving</w:t>
      </w:r>
      <w:r w:rsidR="005C34F9">
        <w:t xml:space="preserve"> </w:t>
      </w:r>
      <w:r>
        <w:t>and establish workplace safety policies to decrease accidents caused by distracted drivers.</w:t>
      </w:r>
    </w:p>
    <w:p w14:paraId="5D23C3F9" w14:textId="77777777" w:rsidR="00A5423E" w:rsidRDefault="00A5423E" w:rsidP="00A5423E">
      <w:pPr>
        <w:pStyle w:val="ListParagraph"/>
      </w:pPr>
    </w:p>
    <w:p w14:paraId="171B41A9" w14:textId="77777777" w:rsidR="00A5423E" w:rsidRDefault="00A5423E" w:rsidP="004162A4">
      <w:pPr>
        <w:pStyle w:val="ListParagraph"/>
        <w:numPr>
          <w:ilvl w:val="0"/>
          <w:numId w:val="10"/>
        </w:numPr>
        <w:jc w:val="both"/>
      </w:pPr>
      <w:r w:rsidRPr="00A5423E">
        <w:rPr>
          <w:b/>
          <w:bCs/>
          <w:u w:val="single"/>
        </w:rPr>
        <w:t>CHANGES</w:t>
      </w:r>
      <w:r>
        <w:t xml:space="preserve"> </w:t>
      </w:r>
    </w:p>
    <w:p w14:paraId="0BB2B375" w14:textId="77777777" w:rsidR="00A5423E" w:rsidRDefault="00A5423E" w:rsidP="00A5423E">
      <w:pPr>
        <w:pStyle w:val="ListParagraph"/>
      </w:pPr>
    </w:p>
    <w:p w14:paraId="14DF1EDA" w14:textId="1D9AD359" w:rsidR="00A5423E" w:rsidRDefault="00A5423E" w:rsidP="00A5423E">
      <w:pPr>
        <w:pStyle w:val="ListParagraph"/>
        <w:numPr>
          <w:ilvl w:val="1"/>
          <w:numId w:val="10"/>
        </w:numPr>
        <w:ind w:left="360" w:firstLine="0"/>
        <w:jc w:val="both"/>
      </w:pPr>
      <w:r w:rsidRPr="00A5423E">
        <w:rPr>
          <w:b/>
          <w:bCs/>
          <w:u w:val="single"/>
        </w:rPr>
        <w:t>Standard</w:t>
      </w:r>
      <w:r w:rsidRPr="00A5423E">
        <w:rPr>
          <w:b/>
          <w:bCs/>
        </w:rPr>
        <w:t>.</w:t>
      </w:r>
      <w:r>
        <w:t xml:space="preserve"> To be eligible for assistance under the </w:t>
      </w:r>
      <w:r w:rsidR="00085686" w:rsidRPr="00A5423E">
        <w:rPr>
          <w:highlight w:val="yellow"/>
        </w:rPr>
        <w:t>[member organization</w:t>
      </w:r>
      <w:r w:rsidR="00085686">
        <w:rPr>
          <w:highlight w:val="yellow"/>
        </w:rPr>
        <w:t>’s</w:t>
      </w:r>
      <w:r w:rsidR="00085686" w:rsidRPr="00A5423E">
        <w:rPr>
          <w:highlight w:val="yellow"/>
        </w:rPr>
        <w:t>]</w:t>
      </w:r>
      <w:r w:rsidR="00085686">
        <w:t xml:space="preserve"> federal award, </w:t>
      </w:r>
      <w:r>
        <w:t xml:space="preserve">grant or cooperative agreement, the cost of the change, modification, change order, or constructive change must be allowable, allocable, within the scope of its grant or cooperative agreement, and reasonable for the completion of project scope. </w:t>
      </w:r>
    </w:p>
    <w:p w14:paraId="4FD48B65" w14:textId="77777777" w:rsidR="00A5423E" w:rsidRDefault="00A5423E" w:rsidP="00A5423E">
      <w:pPr>
        <w:pStyle w:val="ListParagraph"/>
        <w:ind w:left="360"/>
        <w:jc w:val="both"/>
      </w:pPr>
    </w:p>
    <w:p w14:paraId="42D46500" w14:textId="0147415A" w:rsidR="00A5423E" w:rsidRDefault="00A5423E" w:rsidP="00A5423E">
      <w:pPr>
        <w:pStyle w:val="ListParagraph"/>
        <w:numPr>
          <w:ilvl w:val="1"/>
          <w:numId w:val="10"/>
        </w:numPr>
        <w:ind w:left="360" w:firstLine="0"/>
        <w:jc w:val="both"/>
      </w:pPr>
      <w:r w:rsidRPr="00A5423E">
        <w:rPr>
          <w:b/>
          <w:bCs/>
          <w:u w:val="single"/>
        </w:rPr>
        <w:t>Applicability</w:t>
      </w:r>
      <w:r w:rsidRPr="00A5423E">
        <w:rPr>
          <w:b/>
          <w:bCs/>
        </w:rPr>
        <w:t>.</w:t>
      </w:r>
      <w:r>
        <w:t xml:space="preserve"> Treasury recommends, therefore, that </w:t>
      </w:r>
      <w:r w:rsidR="00085686" w:rsidRPr="00085686">
        <w:rPr>
          <w:highlight w:val="yellow"/>
        </w:rPr>
        <w:t>[member organization]</w:t>
      </w:r>
      <w:r w:rsidR="00085686">
        <w:t xml:space="preserve"> </w:t>
      </w:r>
      <w:r>
        <w:t xml:space="preserve">include a changes clause in its contract that describes how, if at all, changes can be made by either party to alter the method, price, or schedule of the work without breaching the contract. The language of the clause may differ depending on the nature of the contract and the end-item procured. </w:t>
      </w:r>
    </w:p>
    <w:p w14:paraId="0A0DF922" w14:textId="77777777" w:rsidR="00A5423E" w:rsidRDefault="00A5423E" w:rsidP="00A5423E">
      <w:pPr>
        <w:pStyle w:val="ListParagraph"/>
        <w:ind w:left="1440"/>
        <w:jc w:val="both"/>
      </w:pPr>
    </w:p>
    <w:p w14:paraId="0AD8D6C5" w14:textId="5C1F71A1" w:rsidR="00A5423E" w:rsidRDefault="00A5423E" w:rsidP="0031611D">
      <w:pPr>
        <w:pStyle w:val="ListParagraph"/>
        <w:numPr>
          <w:ilvl w:val="0"/>
          <w:numId w:val="10"/>
        </w:numPr>
        <w:jc w:val="both"/>
      </w:pPr>
      <w:r>
        <w:rPr>
          <w:b/>
          <w:bCs/>
          <w:u w:val="single"/>
        </w:rPr>
        <w:t>DEPARTMET OF TREASURY</w:t>
      </w:r>
      <w:r w:rsidRPr="00A5423E">
        <w:rPr>
          <w:b/>
          <w:bCs/>
          <w:u w:val="single"/>
        </w:rPr>
        <w:t xml:space="preserve"> SEAL, LOGO, AND FLAGS</w:t>
      </w:r>
      <w:r>
        <w:rPr>
          <w:b/>
          <w:bCs/>
          <w:u w:val="single"/>
        </w:rPr>
        <w:t>.</w:t>
      </w:r>
      <w:r>
        <w:t xml:space="preserve"> </w:t>
      </w:r>
      <w:r w:rsidRPr="00A5423E">
        <w:t xml:space="preserve">The contractor shall not use the </w:t>
      </w:r>
      <w:r>
        <w:t>Department of Treasury</w:t>
      </w:r>
      <w:r w:rsidRPr="00A5423E">
        <w:t xml:space="preserve"> seal(s), logos, crests, or reproductions of flags or likenesses of DHS agency officials without specific </w:t>
      </w:r>
      <w:r>
        <w:t>Treasury’s</w:t>
      </w:r>
      <w:r w:rsidRPr="00A5423E">
        <w:t xml:space="preserve"> pre-approval.</w:t>
      </w:r>
    </w:p>
    <w:p w14:paraId="3D570D66" w14:textId="77777777" w:rsidR="00233EC0" w:rsidRDefault="00233EC0" w:rsidP="00233EC0">
      <w:pPr>
        <w:pStyle w:val="ListParagraph"/>
        <w:ind w:left="360"/>
        <w:jc w:val="both"/>
      </w:pPr>
    </w:p>
    <w:p w14:paraId="2833891A" w14:textId="0D11DC2C" w:rsidR="00233EC0" w:rsidRPr="00233EC0" w:rsidRDefault="00233EC0" w:rsidP="00233EC0">
      <w:pPr>
        <w:pStyle w:val="ListParagraph"/>
        <w:numPr>
          <w:ilvl w:val="0"/>
          <w:numId w:val="10"/>
        </w:numPr>
        <w:tabs>
          <w:tab w:val="left" w:pos="360"/>
        </w:tabs>
        <w:jc w:val="both"/>
        <w:rPr>
          <w:b/>
          <w:bCs/>
          <w:u w:val="single"/>
        </w:rPr>
      </w:pPr>
      <w:r w:rsidRPr="00233EC0">
        <w:rPr>
          <w:b/>
          <w:bCs/>
          <w:u w:val="single"/>
        </w:rPr>
        <w:t>COMPLIANCE WITH FEDERAL LAW, REGULATIONS, AND EXECUTIVE</w:t>
      </w:r>
      <w:r w:rsidR="0031611D">
        <w:rPr>
          <w:b/>
          <w:bCs/>
          <w:u w:val="single"/>
        </w:rPr>
        <w:t xml:space="preserve"> </w:t>
      </w:r>
      <w:r w:rsidRPr="00233EC0">
        <w:rPr>
          <w:b/>
          <w:bCs/>
          <w:u w:val="single"/>
        </w:rPr>
        <w:t>ORDERS</w:t>
      </w:r>
      <w:r>
        <w:rPr>
          <w:b/>
          <w:bCs/>
          <w:u w:val="single"/>
        </w:rPr>
        <w:t>.</w:t>
      </w:r>
      <w:r>
        <w:t xml:space="preserve"> This is an acknowledgement that the Department of Treasury’s financial assistance will be used to fund all or a portion of the contract. The contractor will comply with all applicable Federal law, regulations, executive orders, </w:t>
      </w:r>
      <w:r w:rsidR="0004070C">
        <w:t xml:space="preserve">Department of </w:t>
      </w:r>
      <w:r w:rsidR="0004070C" w:rsidRPr="0004070C">
        <w:t>Treasury</w:t>
      </w:r>
      <w:r>
        <w:t xml:space="preserve"> policies, procedures, and directives.</w:t>
      </w:r>
    </w:p>
    <w:p w14:paraId="1F1577B5" w14:textId="77777777" w:rsidR="00233EC0" w:rsidRPr="00233EC0" w:rsidRDefault="00233EC0" w:rsidP="00233EC0">
      <w:pPr>
        <w:pStyle w:val="ListParagraph"/>
        <w:rPr>
          <w:b/>
          <w:bCs/>
          <w:u w:val="single"/>
        </w:rPr>
      </w:pPr>
    </w:p>
    <w:p w14:paraId="40808FB2" w14:textId="26DFC2BD" w:rsidR="00233EC0" w:rsidRPr="00233EC0" w:rsidRDefault="00233EC0" w:rsidP="00233EC0">
      <w:pPr>
        <w:pStyle w:val="ListParagraph"/>
        <w:numPr>
          <w:ilvl w:val="0"/>
          <w:numId w:val="10"/>
        </w:numPr>
        <w:tabs>
          <w:tab w:val="left" w:pos="360"/>
        </w:tabs>
        <w:jc w:val="both"/>
        <w:rPr>
          <w:b/>
          <w:bCs/>
          <w:u w:val="single"/>
        </w:rPr>
      </w:pPr>
      <w:r w:rsidRPr="00233EC0">
        <w:rPr>
          <w:b/>
          <w:bCs/>
          <w:u w:val="single"/>
        </w:rPr>
        <w:t>NO OBLIGATION BY FEDERAL GOVERNMENT</w:t>
      </w:r>
      <w:r>
        <w:rPr>
          <w:b/>
          <w:bCs/>
          <w:u w:val="single"/>
        </w:rPr>
        <w:t>.</w:t>
      </w:r>
      <w:r>
        <w:t xml:space="preserve">  The Federal Government is not a party to this contract and is not subject to any obligations or liabilities to the </w:t>
      </w:r>
      <w:r w:rsidR="00085686" w:rsidRPr="00A5423E">
        <w:rPr>
          <w:highlight w:val="yellow"/>
        </w:rPr>
        <w:t>[member organization]</w:t>
      </w:r>
      <w:r>
        <w:t>, contractor, or any other party pertaining to any matter resulting from the contract.</w:t>
      </w:r>
    </w:p>
    <w:p w14:paraId="7FF2DE6F" w14:textId="77777777" w:rsidR="00233EC0" w:rsidRPr="00233EC0" w:rsidRDefault="00233EC0" w:rsidP="00233EC0">
      <w:pPr>
        <w:pStyle w:val="ListParagraph"/>
        <w:rPr>
          <w:b/>
          <w:bCs/>
          <w:u w:val="single"/>
        </w:rPr>
      </w:pPr>
    </w:p>
    <w:p w14:paraId="4A321F98" w14:textId="0DB7C4D0" w:rsidR="00233EC0" w:rsidRPr="0031611D" w:rsidRDefault="00233EC0" w:rsidP="00233EC0">
      <w:pPr>
        <w:pStyle w:val="ListParagraph"/>
        <w:numPr>
          <w:ilvl w:val="0"/>
          <w:numId w:val="10"/>
        </w:numPr>
        <w:tabs>
          <w:tab w:val="left" w:pos="360"/>
        </w:tabs>
        <w:jc w:val="both"/>
        <w:rPr>
          <w:b/>
          <w:bCs/>
          <w:u w:val="single"/>
        </w:rPr>
      </w:pPr>
      <w:r w:rsidRPr="00233EC0">
        <w:rPr>
          <w:b/>
          <w:bCs/>
          <w:u w:val="single"/>
        </w:rPr>
        <w:t>PROGRAM FRAUD AND FALSE OR FRAUDULENT STATEMENTS OR RELATED ACTS.</w:t>
      </w:r>
      <w:r>
        <w:t xml:space="preserve">  The Contractor acknowledges that 31 U.S.C. Chap. 38 (Administrative Remedies for False Claims and Statements) applies to the Contractor’s actions pertaining to this contract.</w:t>
      </w:r>
    </w:p>
    <w:p w14:paraId="3C33BE3B" w14:textId="77777777" w:rsidR="0031611D" w:rsidRPr="0031611D" w:rsidRDefault="0031611D" w:rsidP="0031611D">
      <w:pPr>
        <w:pStyle w:val="ListParagraph"/>
        <w:rPr>
          <w:b/>
          <w:bCs/>
          <w:u w:val="single"/>
        </w:rPr>
      </w:pPr>
    </w:p>
    <w:p w14:paraId="3CABCC70" w14:textId="52E88738" w:rsidR="0031611D" w:rsidRDefault="0031611D" w:rsidP="0031611D">
      <w:pPr>
        <w:pStyle w:val="ListParagraph"/>
        <w:numPr>
          <w:ilvl w:val="0"/>
          <w:numId w:val="10"/>
        </w:numPr>
        <w:tabs>
          <w:tab w:val="left" w:pos="360"/>
        </w:tabs>
        <w:jc w:val="both"/>
      </w:pPr>
      <w:r>
        <w:rPr>
          <w:b/>
          <w:bCs/>
          <w:u w:val="single"/>
        </w:rPr>
        <w:t>MINORITY AND WOMEN BUSINESS ENTERPRISES</w:t>
      </w:r>
      <w:r w:rsidRPr="0031611D">
        <w:t xml:space="preserve">. Contractor hereby agrees to comply with the following when applicable: The requirements of Executive Orders 11625 and 12432 (concerning Minority Business Enterprise), and 12138 (concerning Women's Business Enterprise), when applicable. Accordingly, the contractor hereby agrees to take affirmative steps to assure that women and minority businesses are utilized when possible as sources of supplies, equipment, construction, and services. Affirmative steps shall include the following: </w:t>
      </w:r>
    </w:p>
    <w:p w14:paraId="2DFD12F7" w14:textId="77777777" w:rsidR="0031611D" w:rsidRDefault="0031611D" w:rsidP="0031611D">
      <w:pPr>
        <w:pStyle w:val="ListParagraph"/>
      </w:pPr>
    </w:p>
    <w:p w14:paraId="25CEC80B" w14:textId="77777777" w:rsidR="0031611D" w:rsidRPr="0031611D" w:rsidRDefault="0031611D" w:rsidP="00154262">
      <w:pPr>
        <w:pStyle w:val="ListParagraph"/>
        <w:numPr>
          <w:ilvl w:val="1"/>
          <w:numId w:val="10"/>
        </w:numPr>
        <w:tabs>
          <w:tab w:val="left" w:pos="360"/>
        </w:tabs>
        <w:ind w:left="720"/>
        <w:jc w:val="both"/>
      </w:pPr>
      <w:r w:rsidRPr="0031611D">
        <w:t xml:space="preserve">Including qualified women’s business enterprises and small and minority businesses on solicitation lists; </w:t>
      </w:r>
    </w:p>
    <w:p w14:paraId="08DD224B" w14:textId="77777777" w:rsidR="0031611D" w:rsidRPr="0031611D" w:rsidRDefault="0031611D" w:rsidP="00154262">
      <w:pPr>
        <w:pStyle w:val="ListParagraph"/>
        <w:numPr>
          <w:ilvl w:val="1"/>
          <w:numId w:val="10"/>
        </w:numPr>
        <w:tabs>
          <w:tab w:val="left" w:pos="360"/>
        </w:tabs>
        <w:ind w:left="720"/>
        <w:jc w:val="both"/>
      </w:pPr>
      <w:r w:rsidRPr="0031611D">
        <w:t xml:space="preserve">Assuring that women’s enterprises and small and minority businesses are solicited whenever they are potential sources; </w:t>
      </w:r>
    </w:p>
    <w:p w14:paraId="267957FC" w14:textId="77777777" w:rsidR="0031611D" w:rsidRPr="0031611D" w:rsidRDefault="0031611D" w:rsidP="00154262">
      <w:pPr>
        <w:pStyle w:val="ListParagraph"/>
        <w:numPr>
          <w:ilvl w:val="1"/>
          <w:numId w:val="10"/>
        </w:numPr>
        <w:tabs>
          <w:tab w:val="left" w:pos="360"/>
        </w:tabs>
        <w:ind w:left="720"/>
        <w:jc w:val="both"/>
      </w:pPr>
      <w:r w:rsidRPr="0031611D">
        <w:t xml:space="preserve">When economically feasible, dividing total requirements into smaller tasks or quantities </w:t>
      </w:r>
      <w:proofErr w:type="gramStart"/>
      <w:r w:rsidRPr="0031611D">
        <w:t>so as to</w:t>
      </w:r>
      <w:proofErr w:type="gramEnd"/>
      <w:r w:rsidRPr="0031611D">
        <w:t xml:space="preserve"> permit maximum participation by small and minority business, and women’s business enterprises; </w:t>
      </w:r>
    </w:p>
    <w:p w14:paraId="183135FE" w14:textId="77777777" w:rsidR="0031611D" w:rsidRPr="0031611D" w:rsidRDefault="0031611D" w:rsidP="00154262">
      <w:pPr>
        <w:pStyle w:val="ListParagraph"/>
        <w:numPr>
          <w:ilvl w:val="1"/>
          <w:numId w:val="10"/>
        </w:numPr>
        <w:tabs>
          <w:tab w:val="left" w:pos="360"/>
        </w:tabs>
        <w:ind w:left="720"/>
        <w:jc w:val="both"/>
      </w:pPr>
      <w:r w:rsidRPr="0031611D">
        <w:t xml:space="preserve">Where the requirement permits, establishing delivery schedules which will encourage participation by women’s business enterprises and small and minority business; and </w:t>
      </w:r>
    </w:p>
    <w:p w14:paraId="6FDAE944" w14:textId="683BDF6B" w:rsidR="0031611D" w:rsidRDefault="0031611D" w:rsidP="00154262">
      <w:pPr>
        <w:pStyle w:val="ListParagraph"/>
        <w:numPr>
          <w:ilvl w:val="1"/>
          <w:numId w:val="10"/>
        </w:numPr>
        <w:tabs>
          <w:tab w:val="left" w:pos="360"/>
        </w:tabs>
        <w:ind w:left="720"/>
        <w:jc w:val="both"/>
      </w:pPr>
      <w:r w:rsidRPr="0031611D">
        <w:t>Using the services and assistance of the Small Business Administration, and the U.S. Office of Minority Business Development Agency of the Department of Commerce; and</w:t>
      </w:r>
      <w:r>
        <w:t>/or</w:t>
      </w:r>
      <w:r w:rsidRPr="0031611D">
        <w:t xml:space="preserve"> the Mississippi Procurement Technical Assistance Program (</w:t>
      </w:r>
      <w:hyperlink r:id="rId8" w:history="1">
        <w:r w:rsidRPr="00AE6C96">
          <w:rPr>
            <w:rStyle w:val="Hyperlink"/>
          </w:rPr>
          <w:t>https://mscpc.com</w:t>
        </w:r>
      </w:hyperlink>
      <w:r w:rsidRPr="0031611D">
        <w:t>).</w:t>
      </w:r>
    </w:p>
    <w:p w14:paraId="35EF4937" w14:textId="77777777" w:rsidR="001E5CFB" w:rsidRDefault="001E5CFB" w:rsidP="001E5CFB">
      <w:pPr>
        <w:pStyle w:val="ListParagraph"/>
        <w:tabs>
          <w:tab w:val="left" w:pos="360"/>
        </w:tabs>
        <w:ind w:left="1440"/>
        <w:jc w:val="both"/>
      </w:pPr>
    </w:p>
    <w:p w14:paraId="31E8315F" w14:textId="77777777" w:rsidR="00154262" w:rsidRDefault="001E5CFB" w:rsidP="001E5CFB">
      <w:pPr>
        <w:pStyle w:val="ListParagraph"/>
        <w:numPr>
          <w:ilvl w:val="0"/>
          <w:numId w:val="10"/>
        </w:numPr>
        <w:tabs>
          <w:tab w:val="left" w:pos="360"/>
        </w:tabs>
        <w:jc w:val="both"/>
      </w:pPr>
      <w:r>
        <w:rPr>
          <w:b/>
          <w:bCs/>
          <w:u w:val="single"/>
        </w:rPr>
        <w:t>CONFLICTS AND INTERPRETATION.</w:t>
      </w:r>
      <w:r>
        <w:t xml:space="preserve"> </w:t>
      </w:r>
    </w:p>
    <w:p w14:paraId="06D7F970" w14:textId="77777777" w:rsidR="00154262" w:rsidRDefault="00154262" w:rsidP="00154262">
      <w:pPr>
        <w:pStyle w:val="ListParagraph"/>
        <w:tabs>
          <w:tab w:val="left" w:pos="360"/>
        </w:tabs>
        <w:ind w:left="360"/>
        <w:jc w:val="both"/>
      </w:pPr>
    </w:p>
    <w:p w14:paraId="46FE9A46" w14:textId="77777777" w:rsidR="00154262" w:rsidRDefault="001E5CFB" w:rsidP="00154262">
      <w:pPr>
        <w:pStyle w:val="ListParagraph"/>
        <w:numPr>
          <w:ilvl w:val="1"/>
          <w:numId w:val="10"/>
        </w:numPr>
        <w:tabs>
          <w:tab w:val="left" w:pos="360"/>
        </w:tabs>
        <w:ind w:left="720"/>
        <w:jc w:val="both"/>
      </w:pPr>
      <w:r>
        <w:t>To the extent that any portion of these Supplementa</w:t>
      </w:r>
      <w:r w:rsidR="001345EB">
        <w:t>l</w:t>
      </w:r>
      <w:r>
        <w:t xml:space="preserve"> Terms conflicts with any term or condition of this contract expressed outside of </w:t>
      </w:r>
      <w:r w:rsidRPr="001E5CFB">
        <w:t>these Supplementary Terms</w:t>
      </w:r>
      <w:r>
        <w:t xml:space="preserve">, the </w:t>
      </w:r>
      <w:r w:rsidRPr="001E5CFB">
        <w:t>Supplementa</w:t>
      </w:r>
      <w:r w:rsidR="001345EB">
        <w:t>l</w:t>
      </w:r>
      <w:r w:rsidRPr="001E5CFB">
        <w:t xml:space="preserve"> Terms</w:t>
      </w:r>
      <w:r>
        <w:t xml:space="preserve"> shall govern. </w:t>
      </w:r>
      <w:r w:rsidR="001345EB">
        <w:t xml:space="preserve"> </w:t>
      </w:r>
    </w:p>
    <w:p w14:paraId="47004153" w14:textId="69A0558B" w:rsidR="001E5CFB" w:rsidRDefault="00154262" w:rsidP="00154262">
      <w:pPr>
        <w:pStyle w:val="ListParagraph"/>
        <w:numPr>
          <w:ilvl w:val="1"/>
          <w:numId w:val="10"/>
        </w:numPr>
        <w:tabs>
          <w:tab w:val="left" w:pos="360"/>
        </w:tabs>
        <w:ind w:left="720"/>
        <w:jc w:val="both"/>
      </w:pPr>
      <w:r>
        <w:t>T</w:t>
      </w:r>
      <w:r w:rsidR="001345EB">
        <w:t>he term “contractor” as used in these Supplemental Terms shall also include any subcontractors that contract with a contractor and whose contract</w:t>
      </w:r>
      <w:r w:rsidR="001345EB" w:rsidRPr="001345EB">
        <w:rPr>
          <w:sz w:val="28"/>
          <w:szCs w:val="28"/>
        </w:rPr>
        <w:t xml:space="preserve"> </w:t>
      </w:r>
      <w:r w:rsidR="001345EB" w:rsidRPr="001345EB">
        <w:t xml:space="preserve">for goods and/or services </w:t>
      </w:r>
      <w:r w:rsidR="001345EB">
        <w:t xml:space="preserve">is funded in whole or in part by </w:t>
      </w:r>
      <w:r>
        <w:t>a federal grant award.</w:t>
      </w:r>
    </w:p>
    <w:p w14:paraId="2B402ADB" w14:textId="77777777" w:rsidR="00F22965" w:rsidRPr="00F22965" w:rsidRDefault="00F22965" w:rsidP="00F22965">
      <w:pPr>
        <w:pStyle w:val="ListParagraph"/>
        <w:rPr>
          <w:b/>
          <w:bCs/>
          <w:u w:val="single"/>
        </w:rPr>
      </w:pPr>
    </w:p>
    <w:p w14:paraId="78BEF2E6" w14:textId="0587240D" w:rsidR="0029209C" w:rsidRDefault="0029209C" w:rsidP="0029209C">
      <w:pPr>
        <w:pStyle w:val="ListParagraph"/>
        <w:numPr>
          <w:ilvl w:val="0"/>
          <w:numId w:val="10"/>
        </w:numPr>
        <w:jc w:val="both"/>
        <w:rPr>
          <w:b/>
          <w:bCs/>
          <w:u w:val="single"/>
        </w:rPr>
      </w:pPr>
      <w:r w:rsidRPr="0029209C">
        <w:rPr>
          <w:b/>
          <w:bCs/>
          <w:u w:val="single"/>
        </w:rPr>
        <w:t>REMEDIES</w:t>
      </w:r>
    </w:p>
    <w:p w14:paraId="57DA3498" w14:textId="77777777" w:rsidR="0029209C" w:rsidRDefault="0029209C" w:rsidP="00154262">
      <w:pPr>
        <w:ind w:left="720" w:hanging="360"/>
        <w:jc w:val="both"/>
      </w:pPr>
      <w:r>
        <w:t xml:space="preserve">(1) Contracts for more than the simplified acquisition threshold, currently set at $250,000, must address administrative, contractual, or legal remedies in instances where contractors violate or breach contract terms, and provide for such sanctions and penalties as appropriate. See 2 C.F.R. Part 200, Appendix II(A). </w:t>
      </w:r>
    </w:p>
    <w:p w14:paraId="2DC774D7" w14:textId="692098E9" w:rsidR="0029209C" w:rsidRDefault="0029209C" w:rsidP="00154262">
      <w:pPr>
        <w:pStyle w:val="ListParagraph"/>
        <w:spacing w:after="240"/>
        <w:ind w:hanging="360"/>
        <w:jc w:val="both"/>
      </w:pPr>
      <w:r>
        <w:t>(2) This requirement applies to all federally funded grant and cooperative agreement programs.</w:t>
      </w:r>
    </w:p>
    <w:p w14:paraId="1AADB5AE" w14:textId="77777777" w:rsidR="0029209C" w:rsidRDefault="0029209C" w:rsidP="0029209C">
      <w:pPr>
        <w:pStyle w:val="ListParagraph"/>
        <w:ind w:left="360"/>
        <w:jc w:val="both"/>
        <w:rPr>
          <w:b/>
          <w:bCs/>
          <w:u w:val="single"/>
        </w:rPr>
      </w:pPr>
    </w:p>
    <w:p w14:paraId="59510CBE" w14:textId="70B10CAD" w:rsidR="0029209C" w:rsidRPr="00455610" w:rsidRDefault="0029209C" w:rsidP="0031611D">
      <w:pPr>
        <w:pStyle w:val="ListParagraph"/>
        <w:keepNext/>
        <w:numPr>
          <w:ilvl w:val="0"/>
          <w:numId w:val="10"/>
        </w:numPr>
        <w:tabs>
          <w:tab w:val="left" w:pos="360"/>
        </w:tabs>
        <w:jc w:val="both"/>
        <w:rPr>
          <w:b/>
          <w:bCs/>
          <w:u w:val="single"/>
        </w:rPr>
      </w:pPr>
      <w:r w:rsidRPr="0029209C">
        <w:rPr>
          <w:b/>
          <w:bCs/>
          <w:u w:val="single"/>
        </w:rPr>
        <w:t>TERMINATION FOR CAUSE AND COVIENENCE</w:t>
      </w:r>
    </w:p>
    <w:p w14:paraId="72122D08" w14:textId="371BFC26" w:rsidR="002909CC" w:rsidRDefault="002909CC" w:rsidP="00154262">
      <w:pPr>
        <w:keepNext/>
        <w:ind w:left="720" w:hanging="360"/>
        <w:jc w:val="both"/>
      </w:pPr>
      <w:r>
        <w:t xml:space="preserve">(1) All contracts </w:t>
      </w:r>
      <w:proofErr w:type="gramStart"/>
      <w:r>
        <w:t>in excess of</w:t>
      </w:r>
      <w:proofErr w:type="gramEnd"/>
      <w:r>
        <w:t xml:space="preserve"> $10,000 are subject to termination for cause and for convenience by the </w:t>
      </w:r>
      <w:r w:rsidRPr="0029209C">
        <w:rPr>
          <w:highlight w:val="yellow"/>
        </w:rPr>
        <w:t>[member organization]</w:t>
      </w:r>
      <w:r>
        <w:t xml:space="preserve">, including the manner by which it will be effected and the basis for settlement. See 2 C.F.R. Part 200, Appendix II(B) </w:t>
      </w:r>
    </w:p>
    <w:p w14:paraId="03207005" w14:textId="161C6472" w:rsidR="002909CC" w:rsidRDefault="002909CC" w:rsidP="001E5CFB">
      <w:pPr>
        <w:spacing w:after="240"/>
        <w:ind w:left="360"/>
        <w:jc w:val="both"/>
      </w:pPr>
      <w:r>
        <w:t>(2) This requirement applies to all federally funded grant and cooperative agreement programs.</w:t>
      </w:r>
    </w:p>
    <w:p w14:paraId="53F45D3E" w14:textId="77777777" w:rsidR="001E5CFB" w:rsidRPr="0029209C" w:rsidRDefault="001E5CFB" w:rsidP="00D610A2">
      <w:pPr>
        <w:pStyle w:val="ListParagraph"/>
        <w:numPr>
          <w:ilvl w:val="0"/>
          <w:numId w:val="10"/>
        </w:numPr>
        <w:spacing w:after="0"/>
        <w:jc w:val="both"/>
        <w:rPr>
          <w:b/>
          <w:bCs/>
          <w:u w:val="single"/>
        </w:rPr>
      </w:pPr>
      <w:r w:rsidRPr="00455610">
        <w:rPr>
          <w:b/>
          <w:bCs/>
          <w:u w:val="single"/>
        </w:rPr>
        <w:lastRenderedPageBreak/>
        <w:t>ANTI–LOBBYING AMENDMENT.</w:t>
      </w:r>
      <w:r>
        <w:t xml:space="preserve">  </w:t>
      </w:r>
      <w:bookmarkStart w:id="6" w:name="_Hlk99629904"/>
      <w:r w:rsidRPr="00455610">
        <w:t xml:space="preserve">Contractor and/or Subcontractor </w:t>
      </w:r>
      <w:bookmarkEnd w:id="6"/>
      <w:r>
        <w:t xml:space="preserve">certifies, to the best of its  knowledge and belief that:  </w:t>
      </w:r>
    </w:p>
    <w:p w14:paraId="60A9F4C7" w14:textId="77777777" w:rsidR="001E5CFB" w:rsidRPr="0029209C" w:rsidRDefault="001E5CFB" w:rsidP="00D610A2">
      <w:pPr>
        <w:pStyle w:val="ListParagraph"/>
        <w:spacing w:line="240" w:lineRule="auto"/>
        <w:rPr>
          <w:b/>
          <w:bCs/>
          <w:u w:val="single"/>
        </w:rPr>
      </w:pPr>
    </w:p>
    <w:p w14:paraId="73206DA7" w14:textId="77777777" w:rsidR="001E5CFB" w:rsidRPr="00610A42" w:rsidRDefault="001E5CFB" w:rsidP="00154262">
      <w:pPr>
        <w:pStyle w:val="ListParagraph"/>
        <w:numPr>
          <w:ilvl w:val="0"/>
          <w:numId w:val="12"/>
        </w:numPr>
        <w:jc w:val="both"/>
        <w:rPr>
          <w:b/>
          <w:bCs/>
          <w:u w:val="single"/>
        </w:rPr>
      </w:pPr>
      <w:r>
        <w:t xml:space="preserve">No federally appropriated funds have been paid or will be paid, by or on behalf of the </w:t>
      </w:r>
      <w:r w:rsidRPr="00610A42">
        <w:t>Contractor and/or Subcontractor</w:t>
      </w:r>
      <w: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3E1B8712" w14:textId="77777777" w:rsidR="001E5CFB" w:rsidRPr="00455610" w:rsidRDefault="001E5CFB" w:rsidP="00154262">
      <w:pPr>
        <w:pStyle w:val="ListParagraph"/>
        <w:ind w:hanging="360"/>
        <w:jc w:val="both"/>
        <w:rPr>
          <w:b/>
          <w:bCs/>
          <w:u w:val="single"/>
        </w:rPr>
      </w:pPr>
    </w:p>
    <w:p w14:paraId="41198A7E" w14:textId="77777777" w:rsidR="001E5CFB" w:rsidRPr="00142973" w:rsidRDefault="001E5CFB" w:rsidP="00154262">
      <w:pPr>
        <w:pStyle w:val="ListParagraph"/>
        <w:numPr>
          <w:ilvl w:val="0"/>
          <w:numId w:val="12"/>
        </w:numPr>
        <w:jc w:val="both"/>
        <w:rPr>
          <w:b/>
          <w:bCs/>
          <w:u w:val="single"/>
        </w:rPr>
      </w:pPr>
      <w:r>
        <w:t xml:space="preserve">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w:t>
      </w:r>
      <w:r w:rsidRPr="00610A42">
        <w:t xml:space="preserve">Contractor and/or Subcontractor </w:t>
      </w:r>
      <w:r>
        <w:t>shall complete and submit O</w:t>
      </w:r>
      <w:r w:rsidRPr="00610A42">
        <w:t xml:space="preserve">MB Standard Form LLL, Disclosure of Lobbying Activities </w:t>
      </w:r>
      <w:r>
        <w:t>in accordance with its instructions.</w:t>
      </w:r>
    </w:p>
    <w:p w14:paraId="0BE2CC28" w14:textId="77777777" w:rsidR="001E5CFB" w:rsidRPr="00142973" w:rsidRDefault="001E5CFB" w:rsidP="00154262">
      <w:pPr>
        <w:pStyle w:val="ListParagraph"/>
        <w:ind w:hanging="360"/>
        <w:rPr>
          <w:b/>
          <w:bCs/>
          <w:u w:val="single"/>
        </w:rPr>
      </w:pPr>
    </w:p>
    <w:p w14:paraId="16BEDFD8" w14:textId="77777777" w:rsidR="001E5CFB" w:rsidRPr="00A208AE" w:rsidRDefault="001E5CFB" w:rsidP="00154262">
      <w:pPr>
        <w:pStyle w:val="ListParagraph"/>
        <w:numPr>
          <w:ilvl w:val="0"/>
          <w:numId w:val="12"/>
        </w:numPr>
        <w:jc w:val="both"/>
        <w:rPr>
          <w:b/>
          <w:bCs/>
          <w:u w:val="single"/>
        </w:rPr>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39E159F" w14:textId="77777777" w:rsidR="001E5CFB" w:rsidRDefault="001E5CFB" w:rsidP="001E5CFB">
      <w:pPr>
        <w:ind w:left="360"/>
        <w:jc w:val="both"/>
      </w:pPr>
      <w:r>
        <w:t xml:space="preserve">This certification is a material representation of fact upon which reliance was placed when this transaction was made or entered into. Submission of this certification is a prerequisite for making or </w:t>
      </w:r>
      <w:proofErr w:type="gramStart"/>
      <w:r>
        <w:t>entering into</w:t>
      </w:r>
      <w:proofErr w:type="gramEnd"/>
      <w:r>
        <w:t xml:space="preserve"> this transaction imposed by section 1352, title 31, U.S. Code. Any person who fails to file the required certification shall be subject to a civil penalty of not less than $10,000 and not more than $100,000 for each such failure. </w:t>
      </w:r>
    </w:p>
    <w:p w14:paraId="4CB4B4E9" w14:textId="5BAFD7D1" w:rsidR="001E5CFB" w:rsidRDefault="001E5CFB" w:rsidP="001E5CFB">
      <w:pPr>
        <w:ind w:left="360"/>
        <w:jc w:val="both"/>
      </w:pPr>
      <w:r w:rsidRPr="0029209C">
        <w:t xml:space="preserve">The </w:t>
      </w:r>
      <w:r w:rsidR="001345EB">
        <w:t>c</w:t>
      </w:r>
      <w:r w:rsidRPr="0029209C">
        <w:t>ontractor,_____________________________ ,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w:t>
      </w:r>
    </w:p>
    <w:p w14:paraId="1A923446" w14:textId="77777777" w:rsidR="00F22965" w:rsidRDefault="00F22965" w:rsidP="00F22965">
      <w:pPr>
        <w:ind w:left="360"/>
        <w:jc w:val="both"/>
      </w:pPr>
    </w:p>
    <w:p w14:paraId="75EC2FE0" w14:textId="77777777" w:rsidR="00F22965" w:rsidRDefault="00F22965" w:rsidP="00F22965">
      <w:pPr>
        <w:spacing w:after="0" w:line="240" w:lineRule="auto"/>
        <w:ind w:left="360"/>
        <w:jc w:val="both"/>
      </w:pPr>
      <w:r>
        <w:t>___________________________________________</w:t>
      </w:r>
    </w:p>
    <w:p w14:paraId="00F5AB66" w14:textId="77777777" w:rsidR="00F22965" w:rsidRDefault="00F22965" w:rsidP="00F22965">
      <w:pPr>
        <w:spacing w:after="0" w:line="240" w:lineRule="auto"/>
        <w:ind w:left="360"/>
        <w:jc w:val="both"/>
      </w:pPr>
      <w:r>
        <w:t xml:space="preserve">Signature of Contractor’s Authorized Official </w:t>
      </w:r>
    </w:p>
    <w:p w14:paraId="6BBD27D1" w14:textId="77777777" w:rsidR="00F22965" w:rsidRDefault="00F22965" w:rsidP="00F22965">
      <w:pPr>
        <w:spacing w:after="0" w:line="240" w:lineRule="auto"/>
        <w:ind w:left="360"/>
        <w:jc w:val="both"/>
      </w:pPr>
    </w:p>
    <w:p w14:paraId="52AD6CDE" w14:textId="77777777" w:rsidR="00F22965" w:rsidRDefault="00F22965" w:rsidP="00F22965">
      <w:pPr>
        <w:spacing w:after="0" w:line="240" w:lineRule="auto"/>
        <w:ind w:left="360"/>
        <w:jc w:val="both"/>
      </w:pPr>
    </w:p>
    <w:p w14:paraId="62367443" w14:textId="77777777" w:rsidR="00F22965" w:rsidRDefault="00F22965" w:rsidP="00F22965">
      <w:pPr>
        <w:spacing w:after="0" w:line="240" w:lineRule="auto"/>
        <w:ind w:left="360"/>
        <w:jc w:val="both"/>
      </w:pPr>
      <w:r>
        <w:t>___________________________________________</w:t>
      </w:r>
    </w:p>
    <w:p w14:paraId="5E171298" w14:textId="77777777" w:rsidR="00F22965" w:rsidRDefault="00F22965" w:rsidP="00F22965">
      <w:pPr>
        <w:spacing w:after="0" w:line="240" w:lineRule="auto"/>
        <w:ind w:left="360"/>
        <w:jc w:val="both"/>
      </w:pPr>
      <w:r>
        <w:t xml:space="preserve">Name and Title of Contractor’s Authorized Official </w:t>
      </w:r>
    </w:p>
    <w:p w14:paraId="36312C68" w14:textId="77777777" w:rsidR="00F22965" w:rsidRDefault="00F22965" w:rsidP="00F22965">
      <w:pPr>
        <w:spacing w:after="0" w:line="240" w:lineRule="auto"/>
        <w:ind w:left="360"/>
        <w:jc w:val="both"/>
      </w:pPr>
    </w:p>
    <w:p w14:paraId="17816DCC" w14:textId="77777777" w:rsidR="00F22965" w:rsidRDefault="00F22965" w:rsidP="00F22965">
      <w:pPr>
        <w:spacing w:after="0" w:line="240" w:lineRule="auto"/>
        <w:ind w:left="360"/>
        <w:jc w:val="both"/>
      </w:pPr>
    </w:p>
    <w:p w14:paraId="5B5DE0AF" w14:textId="77777777" w:rsidR="00F22965" w:rsidRDefault="00F22965" w:rsidP="00F22965">
      <w:pPr>
        <w:spacing w:after="0" w:line="240" w:lineRule="auto"/>
        <w:ind w:left="360"/>
        <w:jc w:val="both"/>
      </w:pPr>
      <w:r>
        <w:t>___________________________________________</w:t>
      </w:r>
    </w:p>
    <w:p w14:paraId="3B816E8B" w14:textId="77777777" w:rsidR="00F22965" w:rsidRPr="00142973" w:rsidRDefault="00F22965" w:rsidP="00F22965">
      <w:pPr>
        <w:spacing w:after="0" w:line="240" w:lineRule="auto"/>
        <w:ind w:left="360"/>
        <w:jc w:val="both"/>
        <w:rPr>
          <w:b/>
          <w:bCs/>
          <w:u w:val="single"/>
        </w:rPr>
      </w:pPr>
      <w:r>
        <w:t>Date</w:t>
      </w:r>
    </w:p>
    <w:p w14:paraId="4B581955" w14:textId="77777777" w:rsidR="00455610" w:rsidRPr="00455610" w:rsidRDefault="00455610" w:rsidP="00455610">
      <w:pPr>
        <w:jc w:val="both"/>
        <w:rPr>
          <w:b/>
          <w:bCs/>
          <w:u w:val="single"/>
        </w:rPr>
      </w:pPr>
    </w:p>
    <w:sectPr w:rsidR="00455610" w:rsidRPr="00455610" w:rsidSect="00ED133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145C" w14:textId="77777777" w:rsidR="00ED1339" w:rsidRDefault="00ED1339" w:rsidP="00ED1339">
      <w:pPr>
        <w:spacing w:after="0" w:line="240" w:lineRule="auto"/>
      </w:pPr>
      <w:r>
        <w:separator/>
      </w:r>
    </w:p>
  </w:endnote>
  <w:endnote w:type="continuationSeparator" w:id="0">
    <w:p w14:paraId="1F7D6DB3" w14:textId="77777777" w:rsidR="00ED1339" w:rsidRDefault="00ED1339" w:rsidP="00ED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768595"/>
      <w:docPartObj>
        <w:docPartGallery w:val="Page Numbers (Bottom of Page)"/>
        <w:docPartUnique/>
      </w:docPartObj>
    </w:sdtPr>
    <w:sdtEndPr>
      <w:rPr>
        <w:noProof/>
      </w:rPr>
    </w:sdtEndPr>
    <w:sdtContent>
      <w:p w14:paraId="7D46D750" w14:textId="3AF03C01" w:rsidR="00ED1339" w:rsidRDefault="00ED13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6D860" w14:textId="77777777" w:rsidR="00ED1339" w:rsidRDefault="00ED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8964A" w14:textId="77777777" w:rsidR="00ED1339" w:rsidRDefault="00ED1339" w:rsidP="00ED1339">
      <w:pPr>
        <w:spacing w:after="0" w:line="240" w:lineRule="auto"/>
      </w:pPr>
      <w:r>
        <w:separator/>
      </w:r>
    </w:p>
  </w:footnote>
  <w:footnote w:type="continuationSeparator" w:id="0">
    <w:p w14:paraId="670EA224" w14:textId="77777777" w:rsidR="00ED1339" w:rsidRDefault="00ED1339" w:rsidP="00ED1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F0F"/>
    <w:multiLevelType w:val="hybridMultilevel"/>
    <w:tmpl w:val="05ACD922"/>
    <w:lvl w:ilvl="0" w:tplc="52169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99B"/>
    <w:multiLevelType w:val="hybridMultilevel"/>
    <w:tmpl w:val="FE06B92A"/>
    <w:lvl w:ilvl="0" w:tplc="1A04803A">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1159"/>
    <w:multiLevelType w:val="hybridMultilevel"/>
    <w:tmpl w:val="5638251A"/>
    <w:lvl w:ilvl="0" w:tplc="202EF3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C75627"/>
    <w:multiLevelType w:val="hybridMultilevel"/>
    <w:tmpl w:val="19A66354"/>
    <w:lvl w:ilvl="0" w:tplc="F990BE70">
      <w:start w:val="1"/>
      <w:numFmt w:val="upperLetter"/>
      <w:lvlText w:val="(%1)"/>
      <w:lvlJc w:val="left"/>
      <w:pPr>
        <w:ind w:left="1080" w:hanging="720"/>
      </w:pPr>
      <w:rPr>
        <w:rFonts w:hint="default"/>
        <w:b/>
        <w:color w:val="auto"/>
      </w:rPr>
    </w:lvl>
    <w:lvl w:ilvl="1" w:tplc="4D481C6E">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96019"/>
    <w:multiLevelType w:val="hybridMultilevel"/>
    <w:tmpl w:val="E5A0D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7C75EF"/>
    <w:multiLevelType w:val="hybridMultilevel"/>
    <w:tmpl w:val="56AA35EA"/>
    <w:lvl w:ilvl="0" w:tplc="1A4C1992">
      <w:start w:val="1"/>
      <w:numFmt w:val="decimal"/>
      <w:lvlText w:val="(%1)"/>
      <w:lvlJc w:val="left"/>
      <w:pPr>
        <w:ind w:left="720" w:hanging="360"/>
      </w:pPr>
      <w:rPr>
        <w:rFonts w:hint="default"/>
        <w:b w:val="0"/>
        <w:bCs w:val="0"/>
      </w:rPr>
    </w:lvl>
    <w:lvl w:ilvl="1" w:tplc="4D481C6E">
      <w:start w:val="1"/>
      <w:numFmt w:val="decimal"/>
      <w:lvlText w:val="(%2)"/>
      <w:lvlJc w:val="left"/>
      <w:pPr>
        <w:ind w:left="72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113BA"/>
    <w:multiLevelType w:val="hybridMultilevel"/>
    <w:tmpl w:val="DD6646C8"/>
    <w:lvl w:ilvl="0" w:tplc="4D481C6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846FEE"/>
    <w:multiLevelType w:val="hybridMultilevel"/>
    <w:tmpl w:val="B39CE2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9E37B6"/>
    <w:multiLevelType w:val="hybridMultilevel"/>
    <w:tmpl w:val="10388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A77DD5"/>
    <w:multiLevelType w:val="hybridMultilevel"/>
    <w:tmpl w:val="9EC68680"/>
    <w:lvl w:ilvl="0" w:tplc="96BC5884">
      <w:start w:val="9"/>
      <w:numFmt w:val="upperLetter"/>
      <w:lvlText w:val="(%1)"/>
      <w:lvlJc w:val="left"/>
      <w:pPr>
        <w:ind w:left="360" w:hanging="360"/>
      </w:pPr>
      <w:rPr>
        <w:rFonts w:hint="default"/>
        <w:b/>
        <w:color w:val="auto"/>
        <w:u w:val="none"/>
      </w:rPr>
    </w:lvl>
    <w:lvl w:ilvl="1" w:tplc="DC4A7F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86426"/>
    <w:multiLevelType w:val="hybridMultilevel"/>
    <w:tmpl w:val="8AEAA230"/>
    <w:lvl w:ilvl="0" w:tplc="AF5CCD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118FC"/>
    <w:multiLevelType w:val="hybridMultilevel"/>
    <w:tmpl w:val="4BB4CFB4"/>
    <w:lvl w:ilvl="0" w:tplc="36887BE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415FC"/>
    <w:multiLevelType w:val="hybridMultilevel"/>
    <w:tmpl w:val="0DD4BC2C"/>
    <w:lvl w:ilvl="0" w:tplc="1A04803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E33D7"/>
    <w:multiLevelType w:val="hybridMultilevel"/>
    <w:tmpl w:val="79BEFE36"/>
    <w:lvl w:ilvl="0" w:tplc="06B0F6E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037838"/>
    <w:multiLevelType w:val="hybridMultilevel"/>
    <w:tmpl w:val="A77244F4"/>
    <w:lvl w:ilvl="0" w:tplc="202EF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324295"/>
    <w:multiLevelType w:val="hybridMultilevel"/>
    <w:tmpl w:val="088ADC3E"/>
    <w:lvl w:ilvl="0" w:tplc="1A4C199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7711BE"/>
    <w:multiLevelType w:val="hybridMultilevel"/>
    <w:tmpl w:val="5486EE94"/>
    <w:lvl w:ilvl="0" w:tplc="4D481C6E">
      <w:start w:val="1"/>
      <w:numFmt w:val="decimal"/>
      <w:lvlText w:val="(%1)"/>
      <w:lvlJc w:val="left"/>
      <w:pPr>
        <w:ind w:left="720" w:hanging="360"/>
      </w:pPr>
      <w:rPr>
        <w:rFonts w:hint="default"/>
        <w:b w:val="0"/>
        <w:bCs w:val="0"/>
        <w:color w:val="auto"/>
        <w:u w:val="none"/>
      </w:rPr>
    </w:lvl>
    <w:lvl w:ilvl="1" w:tplc="04090019">
      <w:start w:val="1"/>
      <w:numFmt w:val="lowerLetter"/>
      <w:lvlText w:val="%2."/>
      <w:lvlJc w:val="left"/>
      <w:pPr>
        <w:ind w:left="1440" w:hanging="360"/>
      </w:pPr>
    </w:lvl>
    <w:lvl w:ilvl="2" w:tplc="51D82498">
      <w:start w:val="1"/>
      <w:numFmt w:val="decimal"/>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741002">
    <w:abstractNumId w:val="3"/>
  </w:num>
  <w:num w:numId="2" w16cid:durableId="697512954">
    <w:abstractNumId w:val="4"/>
  </w:num>
  <w:num w:numId="3" w16cid:durableId="1770807012">
    <w:abstractNumId w:val="13"/>
  </w:num>
  <w:num w:numId="4" w16cid:durableId="1848670803">
    <w:abstractNumId w:val="2"/>
  </w:num>
  <w:num w:numId="5" w16cid:durableId="104154483">
    <w:abstractNumId w:val="14"/>
  </w:num>
  <w:num w:numId="6" w16cid:durableId="603806702">
    <w:abstractNumId w:val="1"/>
  </w:num>
  <w:num w:numId="7" w16cid:durableId="7022875">
    <w:abstractNumId w:val="8"/>
  </w:num>
  <w:num w:numId="8" w16cid:durableId="1714842358">
    <w:abstractNumId w:val="0"/>
  </w:num>
  <w:num w:numId="9" w16cid:durableId="1988975432">
    <w:abstractNumId w:val="16"/>
  </w:num>
  <w:num w:numId="10" w16cid:durableId="1366903850">
    <w:abstractNumId w:val="9"/>
  </w:num>
  <w:num w:numId="11" w16cid:durableId="1864391903">
    <w:abstractNumId w:val="6"/>
  </w:num>
  <w:num w:numId="12" w16cid:durableId="1686134628">
    <w:abstractNumId w:val="11"/>
  </w:num>
  <w:num w:numId="13" w16cid:durableId="1030453430">
    <w:abstractNumId w:val="5"/>
  </w:num>
  <w:num w:numId="14" w16cid:durableId="856306710">
    <w:abstractNumId w:val="15"/>
  </w:num>
  <w:num w:numId="15" w16cid:durableId="228657366">
    <w:abstractNumId w:val="7"/>
  </w:num>
  <w:num w:numId="16" w16cid:durableId="939336158">
    <w:abstractNumId w:val="12"/>
  </w:num>
  <w:num w:numId="17" w16cid:durableId="416219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B3"/>
    <w:rsid w:val="00000A99"/>
    <w:rsid w:val="000068E4"/>
    <w:rsid w:val="00033610"/>
    <w:rsid w:val="0004070C"/>
    <w:rsid w:val="00055188"/>
    <w:rsid w:val="00063C50"/>
    <w:rsid w:val="00085686"/>
    <w:rsid w:val="00094432"/>
    <w:rsid w:val="00095C54"/>
    <w:rsid w:val="000A6360"/>
    <w:rsid w:val="000B09D4"/>
    <w:rsid w:val="001345EB"/>
    <w:rsid w:val="00142973"/>
    <w:rsid w:val="00154262"/>
    <w:rsid w:val="0017702A"/>
    <w:rsid w:val="00197A7D"/>
    <w:rsid w:val="001A3E59"/>
    <w:rsid w:val="001C1593"/>
    <w:rsid w:val="001C5720"/>
    <w:rsid w:val="001E5CFB"/>
    <w:rsid w:val="0020441F"/>
    <w:rsid w:val="00233EC0"/>
    <w:rsid w:val="00251DF3"/>
    <w:rsid w:val="00270E42"/>
    <w:rsid w:val="00285419"/>
    <w:rsid w:val="002909CC"/>
    <w:rsid w:val="0029209C"/>
    <w:rsid w:val="00292A91"/>
    <w:rsid w:val="002E1149"/>
    <w:rsid w:val="00302F7B"/>
    <w:rsid w:val="0031611D"/>
    <w:rsid w:val="00367E3E"/>
    <w:rsid w:val="003849FE"/>
    <w:rsid w:val="0038606B"/>
    <w:rsid w:val="003F6BB4"/>
    <w:rsid w:val="004162A4"/>
    <w:rsid w:val="00420D5A"/>
    <w:rsid w:val="004307B3"/>
    <w:rsid w:val="00432E5C"/>
    <w:rsid w:val="004363A6"/>
    <w:rsid w:val="00452A4B"/>
    <w:rsid w:val="00455610"/>
    <w:rsid w:val="004A2EFD"/>
    <w:rsid w:val="004F6312"/>
    <w:rsid w:val="00503E91"/>
    <w:rsid w:val="005527DB"/>
    <w:rsid w:val="005C34F9"/>
    <w:rsid w:val="00610A42"/>
    <w:rsid w:val="0062205F"/>
    <w:rsid w:val="00625702"/>
    <w:rsid w:val="00657C38"/>
    <w:rsid w:val="0068166C"/>
    <w:rsid w:val="00705EAD"/>
    <w:rsid w:val="00710FEF"/>
    <w:rsid w:val="007704C1"/>
    <w:rsid w:val="007C4F46"/>
    <w:rsid w:val="007F249A"/>
    <w:rsid w:val="00805B9E"/>
    <w:rsid w:val="008122CB"/>
    <w:rsid w:val="0081447F"/>
    <w:rsid w:val="0081474F"/>
    <w:rsid w:val="00830BD4"/>
    <w:rsid w:val="00843FCC"/>
    <w:rsid w:val="0084456C"/>
    <w:rsid w:val="00892592"/>
    <w:rsid w:val="008B7A15"/>
    <w:rsid w:val="0090043F"/>
    <w:rsid w:val="009114F3"/>
    <w:rsid w:val="00912417"/>
    <w:rsid w:val="0093001D"/>
    <w:rsid w:val="00947A58"/>
    <w:rsid w:val="00952303"/>
    <w:rsid w:val="009F270E"/>
    <w:rsid w:val="00A10803"/>
    <w:rsid w:val="00A208AE"/>
    <w:rsid w:val="00A5423E"/>
    <w:rsid w:val="00A70BAB"/>
    <w:rsid w:val="00AE5924"/>
    <w:rsid w:val="00AF0529"/>
    <w:rsid w:val="00AF36EC"/>
    <w:rsid w:val="00B356C0"/>
    <w:rsid w:val="00B42F5A"/>
    <w:rsid w:val="00B50AF7"/>
    <w:rsid w:val="00B51502"/>
    <w:rsid w:val="00B733EC"/>
    <w:rsid w:val="00B81B52"/>
    <w:rsid w:val="00BC09BC"/>
    <w:rsid w:val="00BD667B"/>
    <w:rsid w:val="00BF6848"/>
    <w:rsid w:val="00C64645"/>
    <w:rsid w:val="00CF4E5B"/>
    <w:rsid w:val="00D51A4F"/>
    <w:rsid w:val="00D610A2"/>
    <w:rsid w:val="00DC7F09"/>
    <w:rsid w:val="00DE7671"/>
    <w:rsid w:val="00E41A54"/>
    <w:rsid w:val="00EB6ACB"/>
    <w:rsid w:val="00EC0890"/>
    <w:rsid w:val="00ED1339"/>
    <w:rsid w:val="00ED3D7B"/>
    <w:rsid w:val="00F102AC"/>
    <w:rsid w:val="00F124E4"/>
    <w:rsid w:val="00F20DDF"/>
    <w:rsid w:val="00F22965"/>
    <w:rsid w:val="00F41CE3"/>
    <w:rsid w:val="00FA69E6"/>
    <w:rsid w:val="00FB5493"/>
    <w:rsid w:val="00FC0AF2"/>
    <w:rsid w:val="00FD4B9C"/>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03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EC"/>
    <w:pPr>
      <w:ind w:left="720"/>
      <w:contextualSpacing/>
    </w:pPr>
  </w:style>
  <w:style w:type="character" w:styleId="CommentReference">
    <w:name w:val="annotation reference"/>
    <w:basedOn w:val="DefaultParagraphFont"/>
    <w:uiPriority w:val="99"/>
    <w:semiHidden/>
    <w:unhideWhenUsed/>
    <w:rsid w:val="00302F7B"/>
    <w:rPr>
      <w:sz w:val="16"/>
      <w:szCs w:val="16"/>
    </w:rPr>
  </w:style>
  <w:style w:type="paragraph" w:styleId="CommentText">
    <w:name w:val="annotation text"/>
    <w:basedOn w:val="Normal"/>
    <w:link w:val="CommentTextChar"/>
    <w:uiPriority w:val="99"/>
    <w:unhideWhenUsed/>
    <w:rsid w:val="00302F7B"/>
    <w:pPr>
      <w:spacing w:line="240" w:lineRule="auto"/>
    </w:pPr>
    <w:rPr>
      <w:sz w:val="20"/>
      <w:szCs w:val="20"/>
    </w:rPr>
  </w:style>
  <w:style w:type="character" w:customStyle="1" w:styleId="CommentTextChar">
    <w:name w:val="Comment Text Char"/>
    <w:basedOn w:val="DefaultParagraphFont"/>
    <w:link w:val="CommentText"/>
    <w:uiPriority w:val="99"/>
    <w:rsid w:val="00302F7B"/>
    <w:rPr>
      <w:sz w:val="20"/>
      <w:szCs w:val="20"/>
    </w:rPr>
  </w:style>
  <w:style w:type="paragraph" w:styleId="CommentSubject">
    <w:name w:val="annotation subject"/>
    <w:basedOn w:val="CommentText"/>
    <w:next w:val="CommentText"/>
    <w:link w:val="CommentSubjectChar"/>
    <w:uiPriority w:val="99"/>
    <w:semiHidden/>
    <w:unhideWhenUsed/>
    <w:rsid w:val="00302F7B"/>
    <w:rPr>
      <w:b/>
      <w:bCs/>
    </w:rPr>
  </w:style>
  <w:style w:type="character" w:customStyle="1" w:styleId="CommentSubjectChar">
    <w:name w:val="Comment Subject Char"/>
    <w:basedOn w:val="CommentTextChar"/>
    <w:link w:val="CommentSubject"/>
    <w:uiPriority w:val="99"/>
    <w:semiHidden/>
    <w:rsid w:val="00302F7B"/>
    <w:rPr>
      <w:b/>
      <w:bCs/>
      <w:sz w:val="20"/>
      <w:szCs w:val="20"/>
    </w:rPr>
  </w:style>
  <w:style w:type="character" w:styleId="Hyperlink">
    <w:name w:val="Hyperlink"/>
    <w:basedOn w:val="DefaultParagraphFont"/>
    <w:uiPriority w:val="99"/>
    <w:unhideWhenUsed/>
    <w:rsid w:val="0084456C"/>
    <w:rPr>
      <w:color w:val="0563C1" w:themeColor="hyperlink"/>
      <w:u w:val="single"/>
    </w:rPr>
  </w:style>
  <w:style w:type="character" w:styleId="UnresolvedMention">
    <w:name w:val="Unresolved Mention"/>
    <w:basedOn w:val="DefaultParagraphFont"/>
    <w:uiPriority w:val="99"/>
    <w:semiHidden/>
    <w:unhideWhenUsed/>
    <w:rsid w:val="0084456C"/>
    <w:rPr>
      <w:color w:val="605E5C"/>
      <w:shd w:val="clear" w:color="auto" w:fill="E1DFDD"/>
    </w:rPr>
  </w:style>
  <w:style w:type="character" w:styleId="FollowedHyperlink">
    <w:name w:val="FollowedHyperlink"/>
    <w:basedOn w:val="DefaultParagraphFont"/>
    <w:uiPriority w:val="99"/>
    <w:semiHidden/>
    <w:unhideWhenUsed/>
    <w:rsid w:val="0084456C"/>
    <w:rPr>
      <w:color w:val="954F72" w:themeColor="followedHyperlink"/>
      <w:u w:val="single"/>
    </w:rPr>
  </w:style>
  <w:style w:type="paragraph" w:styleId="Header">
    <w:name w:val="header"/>
    <w:basedOn w:val="Normal"/>
    <w:link w:val="HeaderChar"/>
    <w:uiPriority w:val="99"/>
    <w:unhideWhenUsed/>
    <w:rsid w:val="00ED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339"/>
  </w:style>
  <w:style w:type="paragraph" w:styleId="Footer">
    <w:name w:val="footer"/>
    <w:basedOn w:val="Normal"/>
    <w:link w:val="FooterChar"/>
    <w:uiPriority w:val="99"/>
    <w:unhideWhenUsed/>
    <w:rsid w:val="00ED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pc.com" TargetMode="External"/><Relationship Id="rId3" Type="http://schemas.openxmlformats.org/officeDocument/2006/relationships/settings" Target="settings.xml"/><Relationship Id="rId7" Type="http://schemas.openxmlformats.org/officeDocument/2006/relationships/hyperlink" Target="https://www.dol.gov/agencies/whd/government-contracts/construction/payroll-cert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5192</Words>
  <Characters>29597</Characters>
  <DocSecurity>0</DocSecurity>
  <Lines>246</Lines>
  <Paragraphs>69</Paragraphs>
  <ScaleCrop>false</ScaleCrop>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2024-06-28T16:13:00Z</dcterms:created>
  <dcterms:modified xsi:type="dcterms:W3CDTF">2024-06-28T16:14:00Z</dcterms:modified>
</cp:coreProperties>
</file>